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tabs>
          <w:tab w:val="left" w:pos="1470"/>
        </w:tabs>
        <w:spacing w:line="540" w:lineRule="atLeast"/>
        <w:jc w:val="center"/>
        <w:rPr>
          <w:rFonts w:ascii="宋体" w:hAnsi="宋体"/>
          <w:b/>
          <w:sz w:val="30"/>
          <w:szCs w:val="30"/>
        </w:rPr>
      </w:pPr>
      <w:bookmarkStart w:id="0" w:name="_Hlk204693869"/>
      <w:r>
        <w:rPr>
          <w:rFonts w:hint="eastAsia" w:ascii="宋体" w:hAnsi="宋体"/>
          <w:b/>
          <w:sz w:val="30"/>
          <w:szCs w:val="30"/>
        </w:rPr>
        <w:t>关于调整</w:t>
      </w:r>
      <w:r>
        <w:rPr>
          <w:rFonts w:ascii="宋体" w:hAnsi="宋体"/>
          <w:b/>
          <w:sz w:val="30"/>
          <w:szCs w:val="30"/>
        </w:rPr>
        <w:fldChar w:fldCharType="begin">
          <w:ffData>
            <w:name w:val="Text2"/>
            <w:enabled/>
            <w:calcOnExit w:val="0"/>
            <w:textInput>
              <w:default w:val="部分民生理财天天增利现金管理理财产品"/>
            </w:textInput>
          </w:ffData>
        </w:fldChar>
      </w:r>
      <w:bookmarkStart w:id="1" w:name="Text2"/>
      <w:r>
        <w:rPr>
          <w:rFonts w:ascii="宋体" w:hAnsi="宋体"/>
          <w:b/>
          <w:sz w:val="30"/>
          <w:szCs w:val="30"/>
        </w:rPr>
        <w:instrText xml:space="preserve"> FORMTEXT </w:instrText>
      </w:r>
      <w:r>
        <w:rPr>
          <w:rFonts w:ascii="宋体" w:hAnsi="宋体"/>
          <w:b/>
          <w:sz w:val="30"/>
          <w:szCs w:val="30"/>
        </w:rPr>
        <w:fldChar w:fldCharType="separate"/>
      </w:r>
      <w:r>
        <w:rPr>
          <w:rFonts w:ascii="宋体" w:hAnsi="宋体"/>
          <w:b/>
          <w:sz w:val="30"/>
          <w:szCs w:val="30"/>
        </w:rPr>
        <w:t>部分民生理财天天增利现金管理理财产品</w:t>
      </w:r>
      <w:r>
        <w:rPr>
          <w:rFonts w:ascii="宋体" w:hAnsi="宋体"/>
          <w:b/>
          <w:sz w:val="30"/>
          <w:szCs w:val="30"/>
        </w:rPr>
        <w:fldChar w:fldCharType="end"/>
      </w:r>
      <w:bookmarkEnd w:id="1"/>
      <w:r>
        <w:rPr>
          <w:rFonts w:hint="eastAsia" w:ascii="宋体" w:hAnsi="宋体"/>
          <w:b/>
          <w:sz w:val="30"/>
          <w:szCs w:val="30"/>
        </w:rPr>
        <w:t>合同条款的公告</w:t>
      </w:r>
    </w:p>
    <w:bookmarkEnd w:id="0"/>
    <w:p>
      <w:pPr>
        <w:pStyle w:val="10"/>
        <w:spacing w:line="360" w:lineRule="auto"/>
        <w:rPr>
          <w:rFonts w:asciiTheme="minorEastAsia" w:hAnsiTheme="minorEastAsia" w:eastAsiaTheme="minorEastAsia"/>
        </w:rPr>
      </w:pPr>
    </w:p>
    <w:p>
      <w:pPr>
        <w:pStyle w:val="10"/>
        <w:spacing w:line="360" w:lineRule="auto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尊敬的投资者：</w:t>
      </w:r>
    </w:p>
    <w:p>
      <w:pPr>
        <w:spacing w:line="360" w:lineRule="auto"/>
        <w:ind w:firstLine="420" w:firstLineChars="200"/>
        <w:jc w:val="left"/>
        <w:rPr>
          <w:rFonts w:asciiTheme="minorEastAsia" w:hAnsiTheme="minorEastAsia" w:eastAsiaTheme="minorEastAsia"/>
          <w:bCs/>
          <w:szCs w:val="21"/>
        </w:rPr>
      </w:pPr>
      <w:r>
        <w:rPr>
          <w:rFonts w:hint="eastAsia" w:ascii="宋体" w:hAnsi="宋体" w:cs="宋体"/>
          <w:szCs w:val="21"/>
        </w:rPr>
        <w:t>为充分保障投资者权益，结合</w:t>
      </w:r>
      <w:r>
        <w:rPr>
          <w:rFonts w:hint="eastAsia" w:cs="仿宋" w:asciiTheme="minorEastAsia" w:hAnsiTheme="minorEastAsia" w:eastAsiaTheme="minorEastAsia"/>
          <w:szCs w:val="21"/>
        </w:rPr>
        <w:t>产品实际管理需要，我司计划</w:t>
      </w:r>
      <w:bookmarkStart w:id="2" w:name="XX机构"/>
      <w:r>
        <w:rPr>
          <w:rFonts w:hint="eastAsia" w:cs="仿宋" w:asciiTheme="minorEastAsia" w:hAnsiTheme="minorEastAsia" w:eastAsiaTheme="minorEastAsia"/>
          <w:szCs w:val="21"/>
        </w:rPr>
        <w:t>自</w:t>
      </w:r>
      <w:bookmarkEnd w:id="2"/>
      <w:r>
        <w:rPr>
          <w:rFonts w:hint="eastAsia" w:cs="仿宋" w:asciiTheme="minorEastAsia" w:hAnsiTheme="minorEastAsia" w:eastAsiaTheme="minorEastAsia"/>
          <w:bCs/>
          <w:kern w:val="2"/>
          <w:sz w:val="21"/>
          <w:szCs w:val="21"/>
          <w:lang w:val="en-US" w:eastAsia="zh-CN" w:bidi="ar-SA"/>
        </w:rPr>
        <w:fldChar w:fldCharType="begin">
          <w:ffData>
            <w:name w:val="Text1"/>
            <w:enabled/>
            <w:calcOnExit w:val="0"/>
            <w:textInput>
              <w:default w:val="2026年9月22日"/>
            </w:textInput>
          </w:ffData>
        </w:fldChar>
      </w:r>
      <w:r>
        <w:rPr>
          <w:rFonts w:hint="eastAsia" w:cs="仿宋" w:asciiTheme="minorEastAsia" w:hAnsiTheme="minorEastAsia" w:eastAsiaTheme="minorEastAsia"/>
          <w:bCs/>
          <w:kern w:val="2"/>
          <w:sz w:val="21"/>
          <w:szCs w:val="21"/>
          <w:lang w:val="en-US" w:eastAsia="zh-CN" w:bidi="ar-SA"/>
        </w:rPr>
        <w:instrText xml:space="preserve">FORMTEXT</w:instrText>
      </w:r>
      <w:r>
        <w:rPr>
          <w:rFonts w:hint="eastAsia" w:cs="仿宋" w:asciiTheme="minorEastAsia" w:hAnsiTheme="minorEastAsia" w:eastAsiaTheme="minorEastAsia"/>
          <w:bCs/>
          <w:kern w:val="2"/>
          <w:sz w:val="21"/>
          <w:szCs w:val="21"/>
          <w:lang w:val="en-US" w:eastAsia="zh-CN" w:bidi="ar-SA"/>
        </w:rPr>
        <w:fldChar w:fldCharType="separate"/>
      </w:r>
      <w:r>
        <w:rPr>
          <w:rFonts w:hint="eastAsia" w:cs="仿宋" w:asciiTheme="minorEastAsia" w:hAnsiTheme="minorEastAsia" w:eastAsiaTheme="minorEastAsia"/>
          <w:bCs/>
          <w:kern w:val="2"/>
          <w:sz w:val="21"/>
          <w:szCs w:val="21"/>
          <w:lang w:val="en-US" w:eastAsia="zh-CN" w:bidi="ar-SA"/>
        </w:rPr>
        <w:t>2026年9月22日</w:t>
      </w:r>
      <w:r>
        <w:rPr>
          <w:rFonts w:hint="eastAsia" w:cs="仿宋" w:asciiTheme="minorEastAsia" w:hAnsiTheme="minorEastAsia" w:eastAsiaTheme="minorEastAsia"/>
          <w:bCs/>
          <w:kern w:val="2"/>
          <w:sz w:val="21"/>
          <w:szCs w:val="21"/>
          <w:lang w:val="en-US" w:eastAsia="zh-CN" w:bidi="ar-SA"/>
        </w:rPr>
        <w:fldChar w:fldCharType="end"/>
      </w:r>
      <w:r>
        <w:rPr>
          <w:rFonts w:hint="eastAsia" w:cs="仿宋" w:asciiTheme="minorEastAsia" w:hAnsiTheme="minorEastAsia" w:eastAsiaTheme="minorEastAsia"/>
          <w:bCs/>
          <w:szCs w:val="21"/>
        </w:rPr>
        <w:t>起对</w:t>
      </w:r>
      <w:r>
        <w:rPr>
          <w:rFonts w:cs="仿宋" w:asciiTheme="minorEastAsia" w:hAnsiTheme="minorEastAsia" w:eastAsiaTheme="minorEastAsia"/>
          <w:bCs/>
          <w:szCs w:val="21"/>
        </w:rPr>
        <w:fldChar w:fldCharType="begin">
          <w:ffData>
            <w:enabled/>
            <w:calcOnExit w:val="0"/>
            <w:textInput>
              <w:default w:val="部分民生理财天天增利现金管理理财产品"/>
            </w:textInput>
          </w:ffData>
        </w:fldChar>
      </w:r>
      <w:r>
        <w:rPr>
          <w:rFonts w:cs="仿宋" w:asciiTheme="minorEastAsia" w:hAnsiTheme="minorEastAsia" w:eastAsiaTheme="minorEastAsia"/>
          <w:bCs/>
          <w:szCs w:val="21"/>
        </w:rPr>
        <w:instrText xml:space="preserve"> FORMTEXT </w:instrText>
      </w:r>
      <w:r>
        <w:rPr>
          <w:rFonts w:cs="仿宋" w:asciiTheme="minorEastAsia" w:hAnsiTheme="minorEastAsia" w:eastAsiaTheme="minorEastAsia"/>
          <w:bCs/>
          <w:szCs w:val="21"/>
        </w:rPr>
        <w:fldChar w:fldCharType="separate"/>
      </w:r>
      <w:r>
        <w:rPr>
          <w:rFonts w:cs="仿宋" w:asciiTheme="minorEastAsia" w:hAnsiTheme="minorEastAsia" w:eastAsiaTheme="minorEastAsia"/>
          <w:bCs/>
          <w:szCs w:val="21"/>
        </w:rPr>
        <w:t>部分民生理财天天增利现金管理理财产品</w:t>
      </w:r>
      <w:r>
        <w:rPr>
          <w:rFonts w:cs="仿宋" w:asciiTheme="minorEastAsia" w:hAnsiTheme="minorEastAsia" w:eastAsiaTheme="minorEastAsia"/>
          <w:bCs/>
          <w:szCs w:val="21"/>
        </w:rPr>
        <w:fldChar w:fldCharType="end"/>
      </w:r>
      <w:r>
        <w:rPr>
          <w:rFonts w:hint="eastAsia" w:cs="仿宋" w:asciiTheme="minorEastAsia" w:hAnsiTheme="minorEastAsia" w:eastAsiaTheme="minorEastAsia"/>
          <w:bCs/>
          <w:szCs w:val="21"/>
        </w:rPr>
        <w:t>合同中</w:t>
      </w:r>
      <w:r>
        <w:rPr>
          <w:rFonts w:hint="eastAsia" w:cs="宋体" w:asciiTheme="minorEastAsia" w:hAnsiTheme="minorEastAsia" w:eastAsiaTheme="minorEastAsia"/>
          <w:bCs/>
          <w:szCs w:val="21"/>
        </w:rPr>
        <w:t>的费用计提方法进行调整</w:t>
      </w:r>
      <w:r>
        <w:rPr>
          <w:rFonts w:hint="eastAsia" w:asciiTheme="minorEastAsia" w:hAnsiTheme="minorEastAsia" w:eastAsiaTheme="minorEastAsia"/>
          <w:bCs/>
          <w:szCs w:val="21"/>
        </w:rPr>
        <w:t>，具体内容如下：</w:t>
      </w:r>
    </w:p>
    <w:p>
      <w:pPr>
        <w:pStyle w:val="2"/>
      </w:pPr>
    </w:p>
    <w:p>
      <w:pPr>
        <w:pStyle w:val="17"/>
        <w:numPr>
          <w:ilvl w:val="0"/>
          <w:numId w:val="1"/>
        </w:numPr>
        <w:spacing w:line="360" w:lineRule="auto"/>
        <w:ind w:firstLineChars="0"/>
        <w:jc w:val="left"/>
        <w:rPr>
          <w:rFonts w:asciiTheme="minorEastAsia" w:hAnsiTheme="minorEastAsia" w:eastAsiaTheme="minorEastAsia"/>
          <w:b/>
          <w:bCs/>
          <w:szCs w:val="21"/>
        </w:rPr>
      </w:pPr>
      <w:r>
        <w:rPr>
          <w:rFonts w:hint="eastAsia" w:asciiTheme="minorEastAsia" w:hAnsiTheme="minorEastAsia" w:eastAsiaTheme="minorEastAsia"/>
          <w:b/>
          <w:bCs/>
          <w:szCs w:val="21"/>
        </w:rPr>
        <w:t>费用的计提方法</w:t>
      </w:r>
    </w:p>
    <w:p>
      <w:pPr>
        <w:spacing w:line="360" w:lineRule="auto"/>
        <w:ind w:left="422"/>
        <w:jc w:val="left"/>
        <w:rPr>
          <w:b/>
          <w:bCs/>
          <w:color w:val="000000"/>
          <w:kern w:val="0"/>
        </w:rPr>
      </w:pPr>
      <w:r>
        <w:rPr>
          <w:rFonts w:hint="eastAsia"/>
          <w:b/>
          <w:bCs/>
          <w:color w:val="000000"/>
          <w:kern w:val="0"/>
        </w:rPr>
        <w:t>原表述为：</w:t>
      </w:r>
    </w:p>
    <w:p>
      <w:pPr>
        <w:pStyle w:val="2"/>
        <w:spacing w:line="360" w:lineRule="auto"/>
        <w:ind w:firstLine="420"/>
      </w:pPr>
      <w:r>
        <w:rPr>
          <w:rFonts w:hint="eastAsia"/>
        </w:rPr>
        <w:t>固定管理费按日以产品资产净值计提，计算公式如下：</w:t>
      </w:r>
      <w:r>
        <w:t xml:space="preserve"> </w:t>
      </w:r>
    </w:p>
    <w:p>
      <w:pPr>
        <w:pStyle w:val="2"/>
        <w:spacing w:line="360" w:lineRule="auto"/>
        <w:ind w:firstLine="420"/>
      </w:pPr>
      <w:r>
        <w:rPr>
          <w:rFonts w:hint="eastAsia"/>
        </w:rPr>
        <w:t>当日应计提的固定管理费=前一日本理财产品资产净值×固定管理费率÷365</w:t>
      </w:r>
    </w:p>
    <w:p>
      <w:pPr>
        <w:pStyle w:val="2"/>
        <w:spacing w:line="360" w:lineRule="auto"/>
        <w:ind w:firstLine="420"/>
      </w:pPr>
      <w:r>
        <w:rPr>
          <w:kern w:val="0"/>
        </w:rPr>
        <w:t>托管费</w:t>
      </w:r>
      <w:r>
        <w:rPr>
          <w:rFonts w:hint="eastAsia"/>
        </w:rPr>
        <w:t>按日以产品资产净值计提，计算公式如下：</w:t>
      </w:r>
    </w:p>
    <w:p>
      <w:pPr>
        <w:pStyle w:val="2"/>
        <w:spacing w:line="360" w:lineRule="auto"/>
        <w:ind w:firstLine="420"/>
      </w:pPr>
      <w:r>
        <w:rPr>
          <w:rFonts w:hint="eastAsia"/>
        </w:rPr>
        <w:t>当日应计提的托管费=前一日本理财产品资产净值×托管费率÷365</w:t>
      </w:r>
    </w:p>
    <w:p>
      <w:pPr>
        <w:pStyle w:val="2"/>
        <w:spacing w:line="360" w:lineRule="auto"/>
        <w:ind w:firstLine="420"/>
      </w:pPr>
      <w:r>
        <w:rPr>
          <w:rFonts w:hint="eastAsia"/>
          <w:kern w:val="0"/>
        </w:rPr>
        <w:t>销售费</w:t>
      </w:r>
      <w:r>
        <w:rPr>
          <w:rFonts w:hint="eastAsia"/>
        </w:rPr>
        <w:t>按日以产品资产净值计提，计算公式如下：</w:t>
      </w:r>
    </w:p>
    <w:p>
      <w:pPr>
        <w:pStyle w:val="2"/>
        <w:spacing w:line="360" w:lineRule="auto"/>
        <w:ind w:firstLine="420"/>
      </w:pPr>
      <w:r>
        <w:rPr>
          <w:rFonts w:hint="eastAsia"/>
        </w:rPr>
        <w:t>当日应计提的销售费=前一日本理财产品资产净值×销售费率÷365</w:t>
      </w:r>
    </w:p>
    <w:p>
      <w:pPr>
        <w:spacing w:line="360" w:lineRule="auto"/>
        <w:ind w:firstLine="422" w:firstLineChars="200"/>
        <w:jc w:val="left"/>
        <w:rPr>
          <w:rFonts w:asciiTheme="minorEastAsia" w:hAnsiTheme="minorEastAsia" w:eastAsiaTheme="minorEastAsia"/>
          <w:b/>
          <w:bCs/>
          <w:szCs w:val="21"/>
        </w:rPr>
      </w:pPr>
    </w:p>
    <w:p>
      <w:pPr>
        <w:spacing w:line="360" w:lineRule="auto"/>
        <w:ind w:firstLine="422" w:firstLineChars="200"/>
        <w:jc w:val="left"/>
        <w:rPr>
          <w:rFonts w:asciiTheme="minorEastAsia" w:hAnsiTheme="minorEastAsia" w:eastAsiaTheme="minorEastAsia"/>
          <w:b/>
          <w:bCs/>
          <w:szCs w:val="21"/>
        </w:rPr>
      </w:pPr>
      <w:r>
        <w:rPr>
          <w:rFonts w:hint="eastAsia" w:asciiTheme="minorEastAsia" w:hAnsiTheme="minorEastAsia" w:eastAsiaTheme="minorEastAsia"/>
          <w:b/>
          <w:bCs/>
          <w:szCs w:val="21"/>
        </w:rPr>
        <w:t>调整为：</w:t>
      </w:r>
    </w:p>
    <w:p>
      <w:pPr>
        <w:pStyle w:val="2"/>
        <w:spacing w:line="360" w:lineRule="auto"/>
        <w:ind w:firstLine="420"/>
      </w:pPr>
      <w:r>
        <w:rPr>
          <w:rFonts w:hint="eastAsia"/>
        </w:rPr>
        <w:t>固定管理费按日以</w:t>
      </w:r>
      <w:r>
        <w:rPr>
          <w:rFonts w:hint="eastAsia"/>
          <w:b/>
          <w:bCs/>
        </w:rPr>
        <w:t>理财产品份额</w:t>
      </w:r>
      <w:r>
        <w:rPr>
          <w:rFonts w:hint="eastAsia"/>
        </w:rPr>
        <w:t>计提，计算公式如下：</w:t>
      </w:r>
    </w:p>
    <w:p>
      <w:pPr>
        <w:pStyle w:val="2"/>
        <w:spacing w:line="360" w:lineRule="auto"/>
        <w:ind w:firstLine="420"/>
      </w:pPr>
      <w:r>
        <w:rPr>
          <w:rFonts w:hint="eastAsia"/>
        </w:rPr>
        <w:t>当日应计提的固定管理费=</w:t>
      </w:r>
      <w:r>
        <w:rPr>
          <w:rFonts w:hint="eastAsia"/>
          <w:b/>
          <w:bCs/>
        </w:rPr>
        <w:t>当日理财产品份额</w:t>
      </w:r>
      <w:r>
        <w:rPr>
          <w:rFonts w:hint="eastAsia"/>
        </w:rPr>
        <w:t>×固定管理费率÷365</w:t>
      </w:r>
    </w:p>
    <w:p>
      <w:pPr>
        <w:pStyle w:val="2"/>
        <w:spacing w:line="360" w:lineRule="auto"/>
        <w:ind w:firstLine="420"/>
      </w:pPr>
      <w:r>
        <w:rPr>
          <w:kern w:val="0"/>
        </w:rPr>
        <w:t>托管费</w:t>
      </w:r>
      <w:r>
        <w:rPr>
          <w:rFonts w:hint="eastAsia"/>
        </w:rPr>
        <w:t>按日以</w:t>
      </w:r>
      <w:r>
        <w:rPr>
          <w:rFonts w:hint="eastAsia"/>
          <w:b/>
          <w:bCs/>
        </w:rPr>
        <w:t>理财产品份额</w:t>
      </w:r>
      <w:r>
        <w:rPr>
          <w:rFonts w:hint="eastAsia"/>
        </w:rPr>
        <w:t>计提，计算公式如下：</w:t>
      </w:r>
    </w:p>
    <w:p>
      <w:pPr>
        <w:pStyle w:val="2"/>
        <w:spacing w:line="360" w:lineRule="auto"/>
        <w:ind w:firstLine="420"/>
      </w:pPr>
      <w:r>
        <w:rPr>
          <w:rFonts w:hint="eastAsia"/>
        </w:rPr>
        <w:t>当日应计提的托管费=</w:t>
      </w:r>
      <w:r>
        <w:rPr>
          <w:rFonts w:hint="eastAsia"/>
          <w:b/>
          <w:bCs/>
        </w:rPr>
        <w:t>当日理财产品份额</w:t>
      </w:r>
      <w:r>
        <w:rPr>
          <w:rFonts w:hint="eastAsia"/>
        </w:rPr>
        <w:t>×托管费率÷365</w:t>
      </w:r>
    </w:p>
    <w:p>
      <w:pPr>
        <w:pStyle w:val="2"/>
        <w:spacing w:line="360" w:lineRule="auto"/>
        <w:ind w:firstLine="420"/>
      </w:pPr>
      <w:r>
        <w:rPr>
          <w:rFonts w:hint="eastAsia"/>
          <w:kern w:val="0"/>
        </w:rPr>
        <w:t>销售费</w:t>
      </w:r>
      <w:r>
        <w:rPr>
          <w:rFonts w:hint="eastAsia"/>
        </w:rPr>
        <w:t>按日以</w:t>
      </w:r>
      <w:r>
        <w:rPr>
          <w:rFonts w:hint="eastAsia"/>
          <w:b/>
          <w:bCs/>
        </w:rPr>
        <w:t>理财产品份额</w:t>
      </w:r>
      <w:r>
        <w:rPr>
          <w:rFonts w:hint="eastAsia"/>
        </w:rPr>
        <w:t>计提，计算公式如下：</w:t>
      </w:r>
    </w:p>
    <w:p>
      <w:pPr>
        <w:pStyle w:val="2"/>
        <w:spacing w:line="360" w:lineRule="auto"/>
        <w:ind w:firstLine="420"/>
      </w:pPr>
      <w:r>
        <w:rPr>
          <w:rFonts w:hint="eastAsia"/>
        </w:rPr>
        <w:t>当日应计提的销售费=</w:t>
      </w:r>
      <w:r>
        <w:rPr>
          <w:rFonts w:hint="eastAsia"/>
          <w:b/>
          <w:bCs/>
        </w:rPr>
        <w:t>当日理财产品份额</w:t>
      </w:r>
      <w:r>
        <w:rPr>
          <w:rFonts w:hint="eastAsia"/>
        </w:rPr>
        <w:t>×销售费率÷365</w:t>
      </w:r>
    </w:p>
    <w:p>
      <w:pPr>
        <w:pStyle w:val="2"/>
      </w:pPr>
    </w:p>
    <w:p>
      <w:pPr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具体产品清单详见附件。</w:t>
      </w:r>
    </w:p>
    <w:p>
      <w:pPr>
        <w:pStyle w:val="2"/>
      </w:pPr>
    </w:p>
    <w:p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如投资者不接受本次公告所述调整，可在产品开放日通过代理销售机构赎回本理财产品。本公告作为与投资者的补充约定，是理财产品合同不可分割的组成部分，具有同等法律效力</w:t>
      </w:r>
      <w:r>
        <w:rPr>
          <w:rFonts w:asciiTheme="minorEastAsia" w:hAnsiTheme="minorEastAsia" w:eastAsiaTheme="minorEastAsia"/>
          <w:szCs w:val="21"/>
        </w:rPr>
        <w:fldChar w:fldCharType="begin">
          <w:ffData>
            <w:enabled/>
            <w:calcOnExit w:val="0"/>
            <w:textInput>
              <w:default w:val="，当存续产品后续有其他调整时，将一并更新产品销售文件。"/>
            </w:textInput>
          </w:ffData>
        </w:fldChar>
      </w:r>
      <w:r>
        <w:rPr>
          <w:rFonts w:asciiTheme="minorEastAsia" w:hAnsiTheme="minorEastAsia" w:eastAsiaTheme="minorEastAsia"/>
          <w:szCs w:val="21"/>
        </w:rPr>
        <w:instrText xml:space="preserve"> FORMTEXT </w:instrText>
      </w:r>
      <w:r>
        <w:rPr>
          <w:rFonts w:asciiTheme="minorEastAsia" w:hAnsiTheme="minorEastAsia" w:eastAsiaTheme="minorEastAsia"/>
          <w:szCs w:val="21"/>
        </w:rPr>
        <w:fldChar w:fldCharType="separate"/>
      </w:r>
      <w:r>
        <w:rPr>
          <w:rFonts w:asciiTheme="minorEastAsia" w:hAnsiTheme="minorEastAsia" w:eastAsiaTheme="minorEastAsia"/>
          <w:szCs w:val="21"/>
        </w:rPr>
        <w:t>，当存续产品后续有其他调整时，将一并更新产品销售文件。</w:t>
      </w:r>
      <w:r>
        <w:rPr>
          <w:rFonts w:asciiTheme="minorEastAsia" w:hAnsiTheme="minorEastAsia" w:eastAsiaTheme="minorEastAsia"/>
          <w:szCs w:val="21"/>
        </w:rPr>
        <w:fldChar w:fldCharType="end"/>
      </w:r>
      <w:r>
        <w:rPr>
          <w:rFonts w:hint="eastAsia" w:cs="仿宋" w:asciiTheme="minorEastAsia" w:hAnsiTheme="minorEastAsia" w:eastAsiaTheme="minorEastAsia"/>
          <w:szCs w:val="21"/>
        </w:rPr>
        <w:t>感谢您一直以来对民生理财有限责任公司的支持！敬请关注民生理财正在热销的理财产品。</w:t>
      </w:r>
    </w:p>
    <w:p>
      <w:pPr>
        <w:pStyle w:val="10"/>
        <w:spacing w:line="360" w:lineRule="auto"/>
        <w:ind w:firstLine="560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特此公告。</w:t>
      </w:r>
    </w:p>
    <w:p>
      <w:pPr>
        <w:pStyle w:val="10"/>
        <w:spacing w:line="360" w:lineRule="auto"/>
        <w:jc w:val="right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民生理财有限责任公司</w:t>
      </w:r>
    </w:p>
    <w:p>
      <w:pPr>
        <w:pStyle w:val="10"/>
        <w:spacing w:line="360" w:lineRule="auto"/>
        <w:jc w:val="right"/>
        <w:rPr>
          <w:rFonts w:cs="Times New Roman" w:asciiTheme="minorEastAsia" w:hAnsiTheme="minorEastAsia" w:eastAsiaTheme="minorEastAsia"/>
          <w:kern w:val="2"/>
        </w:rPr>
      </w:pPr>
      <w:bookmarkStart w:id="4" w:name="_GoBack"/>
      <w:bookmarkEnd w:id="4"/>
      <w:bookmarkStart w:id="3" w:name="Text3"/>
      <w:r>
        <w:rPr>
          <w:rFonts w:cs="Times New Roman" w:asciiTheme="minorEastAsia" w:hAnsiTheme="minorEastAsia" w:eastAsiaTheme="minorEastAsia"/>
          <w:kern w:val="2"/>
          <w:sz w:val="21"/>
          <w:szCs w:val="21"/>
          <w:lang w:val="en-US" w:eastAsia="zh-CN" w:bidi="ar-SA"/>
        </w:rPr>
        <w:fldChar w:fldCharType="begin">
          <w:ffData>
            <w:name w:val="Text3"/>
            <w:enabled w:val="0"/>
            <w:calcOnExit w:val="0"/>
            <w:textInput>
              <w:default w:val="2026年9月18日"/>
            </w:textInput>
          </w:ffData>
        </w:fldChar>
      </w:r>
      <w:r>
        <w:rPr>
          <w:rFonts w:cs="Times New Roman" w:asciiTheme="minorEastAsia" w:hAnsiTheme="minorEastAsia" w:eastAsiaTheme="minorEastAsia"/>
          <w:kern w:val="2"/>
          <w:sz w:val="21"/>
          <w:szCs w:val="21"/>
          <w:lang w:val="en-US" w:eastAsia="zh-CN" w:bidi="ar-SA"/>
        </w:rPr>
        <w:instrText xml:space="preserve">FORMTEXT</w:instrText>
      </w:r>
      <w:r>
        <w:rPr>
          <w:rFonts w:cs="Times New Roman" w:asciiTheme="minorEastAsia" w:hAnsiTheme="minorEastAsia" w:eastAsiaTheme="minorEastAsia"/>
          <w:kern w:val="2"/>
          <w:sz w:val="21"/>
          <w:szCs w:val="21"/>
          <w:lang w:val="en-US" w:eastAsia="zh-CN" w:bidi="ar-SA"/>
        </w:rPr>
        <w:fldChar w:fldCharType="separate"/>
      </w:r>
      <w:r>
        <w:rPr>
          <w:rFonts w:cs="Times New Roman" w:asciiTheme="minorEastAsia" w:hAnsiTheme="minorEastAsia" w:eastAsiaTheme="minorEastAsia"/>
          <w:kern w:val="2"/>
          <w:sz w:val="21"/>
          <w:szCs w:val="21"/>
          <w:lang w:val="en-US" w:eastAsia="zh-CN" w:bidi="ar-SA"/>
        </w:rPr>
        <w:t>2026年9月18日</w:t>
      </w:r>
      <w:r>
        <w:rPr>
          <w:rFonts w:cs="Times New Roman" w:asciiTheme="minorEastAsia" w:hAnsiTheme="minorEastAsia" w:eastAsiaTheme="minorEastAsia"/>
          <w:kern w:val="2"/>
          <w:sz w:val="21"/>
          <w:szCs w:val="21"/>
          <w:lang w:val="en-US" w:eastAsia="zh-CN" w:bidi="ar-SA"/>
        </w:rPr>
        <w:fldChar w:fldCharType="end"/>
      </w:r>
      <w:bookmarkEnd w:id="3"/>
    </w:p>
    <w:p>
      <w:pPr>
        <w:pStyle w:val="10"/>
        <w:spacing w:line="360" w:lineRule="auto"/>
        <w:jc w:val="right"/>
        <w:rPr>
          <w:rFonts w:cs="Times New Roman" w:asciiTheme="minorEastAsia" w:hAnsiTheme="minorEastAsia" w:eastAsiaTheme="minorEastAsia"/>
          <w:kern w:val="2"/>
        </w:rPr>
      </w:pPr>
    </w:p>
    <w:p>
      <w:pPr>
        <w:pStyle w:val="10"/>
        <w:spacing w:line="540" w:lineRule="atLeast"/>
        <w:jc w:val="left"/>
        <w:rPr>
          <w:rFonts w:ascii="宋体" w:hAnsi="宋体" w:cs="Times New Roman"/>
          <w:kern w:val="2"/>
          <w:szCs w:val="22"/>
        </w:rPr>
      </w:pPr>
      <w:r>
        <w:rPr>
          <w:rFonts w:cs="Times New Roman" w:asciiTheme="minorEastAsia" w:hAnsiTheme="minorEastAsia" w:eastAsiaTheme="minorEastAsia"/>
          <w:kern w:val="2"/>
        </w:rPr>
        <w:fldChar w:fldCharType="begin">
          <w:ffData>
            <w:enabled w:val="0"/>
            <w:calcOnExit w:val="0"/>
            <w:textInput>
              <w:default w:val="附：理财产品清单"/>
            </w:textInput>
          </w:ffData>
        </w:fldChar>
      </w:r>
      <w:r>
        <w:rPr>
          <w:rFonts w:cs="Times New Roman" w:asciiTheme="minorEastAsia" w:hAnsiTheme="minorEastAsia" w:eastAsiaTheme="minorEastAsia"/>
          <w:kern w:val="2"/>
        </w:rPr>
        <w:instrText xml:space="preserve"> FORMTEXT </w:instrText>
      </w:r>
      <w:r>
        <w:rPr>
          <w:rFonts w:cs="Times New Roman" w:asciiTheme="minorEastAsia" w:hAnsiTheme="minorEastAsia" w:eastAsiaTheme="minorEastAsia"/>
          <w:kern w:val="2"/>
        </w:rPr>
        <w:fldChar w:fldCharType="separate"/>
      </w:r>
      <w:r>
        <w:rPr>
          <w:rFonts w:cs="Times New Roman" w:asciiTheme="minorEastAsia" w:hAnsiTheme="minorEastAsia" w:eastAsiaTheme="minorEastAsia"/>
          <w:kern w:val="2"/>
        </w:rPr>
        <w:t>附：理财产品清单</w:t>
      </w:r>
      <w:r>
        <w:rPr>
          <w:rFonts w:cs="Times New Roman" w:asciiTheme="minorEastAsia" w:hAnsiTheme="minorEastAsia" w:eastAsiaTheme="minorEastAsia"/>
          <w:kern w:val="2"/>
        </w:rPr>
        <w:fldChar w:fldCharType="end"/>
      </w:r>
      <w:r>
        <w:rPr>
          <w:rFonts w:hint="eastAsia" w:ascii="宋体" w:hAnsi="宋体" w:cs="Times New Roman"/>
          <w:kern w:val="2"/>
          <w:szCs w:val="22"/>
        </w:rPr>
        <w:t xml:space="preserve"> </w:t>
      </w:r>
    </w:p>
    <w:tbl>
      <w:tblPr>
        <w:tblStyle w:val="7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1529"/>
        <w:gridCol w:w="61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产品代码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FGAF18168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民生理财天天增利现金管理机构款理财产品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FSAF18178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FSAF19168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民生理财天天增利现金管理悠享款理财产品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FSAF19188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民生理财天天增利现金管理私享款理财产品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FSAF19189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民生理财天天增利现金管理灵动款理财产品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FSAF20168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民生理财天天增利现金管理新享款理财产品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FSAF19001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FSAF19002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FSAF19003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FSAF19004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FSAF19005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FSAF19006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FSAF19007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FSAF19012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FSAF19013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FSAF19014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FSAF19015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FSAF19016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FSAF19017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FSAF19018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FSAF19019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FSAF19020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FSAF19021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FSAF19022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FSAF19023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FSAF19024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FSAF19025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FSAF19026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FSAF19027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FSAF19028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FSAF19029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FBAF19030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FBAF19031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FBAF19032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FBAF19033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FBAF19034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民生理财天天增利现金管理30号理财产品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FBAF19035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民生理财天天增利现金管理31号理财产品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FBAF19036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民生理财天天增利现金管理32号理财产品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FBAF19037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民生理财天天增利现金管理33号理财产品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FBAF19038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民生理财天天增利现金管理34号理财产品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FBAF19039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民生理财天天增利现金管理35号理财产品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FBAF19046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民生理财天天增利现金管理42号理财产品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FBAF19047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民生理财天天增利现金管理43号理财产品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FBAF19048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民生理财天天增利现金管理44号理财产品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FBAF19049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民生理财天天增利现金管理45号理财产品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FBAF19050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民生理财天天增利现金管理46号理财产品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FBAF19051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民生理财天天增利现金管理47号理财产品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FBAF19052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民生理财天天增利现金管理48号理财产品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FBAF19053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民生理财天天增利现金管理49号理财产品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FBAF19055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民生理财天天增利现金管理51号理财产品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FBAF19056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民生理财天天增利现金管理52号理财产品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FBAF19057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民生理财天天增利现金管理53号理财产品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FBAF19058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民生理财天天增利现金管理54号理财产品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FBAF19059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民生理财天天增利现金管理55号理财产品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FBAF19060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民生理财天天增利现金管理56号理财产品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FBAF19061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民生理财天天增利现金管理57号理财产品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FBAF19062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民生理财天天增利现金管理58号理财产品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FBAF19063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民生理财天天增利现金管理59号理财产品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FBAF19064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FBAF19065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FBAF19066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FBAF19067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FBAF19068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FBAF19069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FBAF19070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FBAF19071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FBAF19072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FBAF19073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民生理财天天增利现金管理69号理财产品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FBAF19074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FBAF19075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FBAF19076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FBAF19077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FBAF19078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FBAF19079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FBAF19080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FBAF19081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FBAF19082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FBAF19083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民生理财天天增利现金管理79号理财产品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FBAF19084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民生理财天天增利现金管理80号理财产品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FBAF19086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民生理财天天增利现金管理86号理财产品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FBAF19089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民生理财天天增利现金管理89号理财产品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FBAF19090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民生理财天天增利现金管理90号理财产品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FBAF19091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民生理财天天增利现金管理91号理财产品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FBAF19092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民生理财天天增利现金管理92号理财产品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FBAF19093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民生理财天天增利现金管理93号理财产品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FBAF19094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民生理财天天增利现金管理94号理财产品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FBAF19096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民生理财天天增利现金管理96号理财产品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FBAF19097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民生理财天天增利现金管理97号理财产品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FBAF19099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民生理财天天增利现金管理99号理财产品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FBAF19100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民生理财天天增利现金管理100号理财产品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FBAF19101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民生理财天天增利现金管理101号理财产品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FBAF19102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民生理财天天增利现金管理102号理财产品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FBAF19104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民生理财天天增利现金管理104号理财产品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FBAF19105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民生理财天天增利现金管理105号理财产品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FBAF19106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民生理财天天增利现金管理106号理财产品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FBAF19107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民生理财天天增利现金管理107号理财产品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FBAF19108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民生理财天天增利现金管理108号理财产品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FBAF19132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民生理财天天增利现金管理132号理财产品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FBAF19133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民生理财天天增利现金管理133号理财产品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FBAF19134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民生理财天天增利现金管理134号理财产品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FBAF19135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民生理财天天增利现金管理135号理财产品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FBAF19136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民生理财天天增利现金管理136号理财产品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FBAF19137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民生理财天天增利现金管理137号理财产品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FBAF19138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民生理财天天增利现金管理138号理财产品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FBAF19141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民生理财天天增利现金管理141号理财产品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FBAF19145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民生理财天天增利现金管理145号理财产品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FBAF19150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民生理财天天增利现金管理150号理财产品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FBAF19151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民生理财天天增利现金管理151号理财产品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FBAF19152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民生理财天天增利现金管理152号理财产品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FBAF19157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民生理财天天增利现金管理157号理财产品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FBAF19158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民生理财天天增利现金管理158号理财产品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FBAF19159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民生理财天天增利现金管理159号理财产品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FBAF19160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民生理财天天增利现金管理160号理财产品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FBAF19161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民生理财天天增利现金管理161号理财产品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FBAF19162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民生理财天天增利现金管理162号理财产品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FBAF19163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民生理财天天增利现金管理163号理财产品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FBAF19164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民生理财天天增利现金管理164号理财产品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FBAF19165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民生理财天天增利现金管理165号理财产品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FBAF19166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民生理财天天增利现金管理166号理财产品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FBAF19171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民生理财天天增利现金管理171号理财产品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FBAF19172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民生理财天天增利现金管理172号理财产品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FBAF19173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民生理财天天增利现金管理173号理财产品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FBAF19174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民生理财天天增利现金管理174号理财产品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FBAF19175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民生理财天天增利现金管理175号理财产品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FBAF19176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民生理财天天增利现金管理176号理财产品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FBAF19177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民生理财天天增利现金管理177号理财产品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FBAF19178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民生理财天天增利现金管理178号理财产品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FBAF19179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民生理财天天增利现金管理179号理财产品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FBAF19180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民生理财天天增利现金管理180号理财产品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FBAF19181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民生理财天天增利现金管理181号理财产品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FBAF19182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民生理财天天增利现金管理182号理财产品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FBAF19186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民生理财天天增利现金管理186号理财产品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FBAF19187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民生理财天天增利现金管理187号理财产品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FBAF19191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民生理财天天增利现金管理191号理财产品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FBAF19192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民生理财天天增利现金管理192号理财产品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FBAF19193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民生理财天天增利现金管理193号理财产品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FBAF19194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民生理财天天增利现金管理194号理财产品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FBAF19196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民生理财天天增利现金管理196号理财产品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FBAF19197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民生理财天天增利现金管理197号理财产品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FBAF19198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民生理财天天增利现金管理198号理财产品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FBAF19199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民生理财天天增利现金管理199号理财产品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FBAF19200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FBAF19201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FBAF19202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FBAF19203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FBAF19204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FBAF19205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FBAF19206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FBAF19207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FBAF19208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FBAF19209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民生理财天天增利现金管理209号理财产品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FBAF19210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民生理财天天增利现金管理210号理财产品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FBAF19211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民生理财天天增利现金管理211号理财产品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FBAF19212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民生理财天天增利现金管理212号理财产品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FBAF19213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民生理财天天增利现金管理213号理财产品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FBAF19214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民生理财天天增利现金管理214号理财产品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FBAF19217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民生理财天天增利现金管理217号理财产品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FBAF19219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民生理财天天增利现金管理219号理财产品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FBAF19220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民生理财天天增利现金管理220号理财产品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FBAF19221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民生理财天天增利现金管理221号理财产品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FBAF19222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民生理财天天增利现金管理222号理财产品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FBAF19228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民生理财天天增利现金管理228号理财产品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FBAF19229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民生理财天天增利现金管理229号理财产品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FBAF19230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民生理财天天增利现金管理230号理财产品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FBAF19231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民生理财天天增利现金管理231号理财产品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FBAF19232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民生理财天天增利现金管理232号理财产品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FBAF19233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民生理财天天增利现金管理233号理财产品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FBAF19234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民生理财天天增利现金管理234号理财产品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FBAF19235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民生理财天天增利现金管理235号理财产品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FBAF19236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民生理财天天增利现金管理236号理财产品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FBAF19237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民生理财天天增利现金管理237号理财产品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FBAF19240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民生理财天天增利现金管理240号理财产品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FBAF19242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民生理财天天增利现金管理242号理财产品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FBAF19243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民生理财天天增利现金管理243号理财产品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FBAF19244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民生理财天天增利现金管理244号理财产品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FBAF19245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民生理财天天增利现金管理245号理财产品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FBAF19246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民生理财天天增利现金管理246号理财产品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FBAF19247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民生理财天天增利现金管理247号理财产品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FBAF19248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民生理财天天增利现金管理248号理财产品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FBAF19249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民生理财天天增利现金管理249号理财产品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FBAF19250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FBAF19251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FBAF19252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民生理财天天增利现金管理252号理财产品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FBAF19253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FBAF19254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FBAF19255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FBAF19256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FBAF19257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民生理财天天增利现金管理257号理财产品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FBAF19258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民生理财天天增利现金管理258号理财产品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FBAF19259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民生理财天天增利现金管理259号理财产品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FBAF19260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民生理财天天增利现金管理260号理财产品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FBAF19261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民生理财天天增利现金管理261号理财产品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FBAF19263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民生理财天天增利现金管理263号理财产品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FBAF19264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民生理财天天增利现金管理264号理财产品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FBAF19265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民生理财天天增利现金管理265号理财产品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FBAF19266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民生理财天天增利现金管理266号理财产品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FBAF19267</w:t>
            </w:r>
          </w:p>
        </w:tc>
        <w:tc>
          <w:tcPr>
            <w:tcW w:w="6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民生理财天天增利现金管理267号理财产品</w:t>
            </w:r>
          </w:p>
        </w:tc>
      </w:tr>
    </w:tbl>
    <w:p>
      <w:pPr>
        <w:pStyle w:val="10"/>
        <w:spacing w:line="540" w:lineRule="atLeast"/>
        <w:ind w:right="560"/>
        <w:jc w:val="left"/>
        <w:rPr>
          <w:rFonts w:cs="Times New Roman" w:asciiTheme="minorEastAsia" w:hAnsiTheme="minorEastAsia" w:eastAsiaTheme="minorEastAsia"/>
          <w:kern w:val="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1A7BBD"/>
    <w:multiLevelType w:val="multilevel"/>
    <w:tmpl w:val="1B1A7BBD"/>
    <w:lvl w:ilvl="0" w:tentative="0">
      <w:start w:val="1"/>
      <w:numFmt w:val="japaneseCounting"/>
      <w:lvlText w:val="%1、"/>
      <w:lvlJc w:val="left"/>
      <w:pPr>
        <w:ind w:left="872" w:hanging="45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2" w:hanging="420"/>
      </w:pPr>
    </w:lvl>
    <w:lvl w:ilvl="2" w:tentative="0">
      <w:start w:val="1"/>
      <w:numFmt w:val="lowerRoman"/>
      <w:lvlText w:val="%3."/>
      <w:lvlJc w:val="right"/>
      <w:pPr>
        <w:ind w:left="1682" w:hanging="420"/>
      </w:pPr>
    </w:lvl>
    <w:lvl w:ilvl="3" w:tentative="0">
      <w:start w:val="1"/>
      <w:numFmt w:val="decimal"/>
      <w:lvlText w:val="%4."/>
      <w:lvlJc w:val="left"/>
      <w:pPr>
        <w:ind w:left="2102" w:hanging="420"/>
      </w:pPr>
    </w:lvl>
    <w:lvl w:ilvl="4" w:tentative="0">
      <w:start w:val="1"/>
      <w:numFmt w:val="lowerLetter"/>
      <w:lvlText w:val="%5)"/>
      <w:lvlJc w:val="left"/>
      <w:pPr>
        <w:ind w:left="2522" w:hanging="420"/>
      </w:pPr>
    </w:lvl>
    <w:lvl w:ilvl="5" w:tentative="0">
      <w:start w:val="1"/>
      <w:numFmt w:val="lowerRoman"/>
      <w:lvlText w:val="%6."/>
      <w:lvlJc w:val="right"/>
      <w:pPr>
        <w:ind w:left="2942" w:hanging="420"/>
      </w:pPr>
    </w:lvl>
    <w:lvl w:ilvl="6" w:tentative="0">
      <w:start w:val="1"/>
      <w:numFmt w:val="decimal"/>
      <w:lvlText w:val="%7."/>
      <w:lvlJc w:val="left"/>
      <w:pPr>
        <w:ind w:left="3362" w:hanging="420"/>
      </w:pPr>
    </w:lvl>
    <w:lvl w:ilvl="7" w:tentative="0">
      <w:start w:val="1"/>
      <w:numFmt w:val="lowerLetter"/>
      <w:lvlText w:val="%8)"/>
      <w:lvlJc w:val="left"/>
      <w:pPr>
        <w:ind w:left="3782" w:hanging="420"/>
      </w:pPr>
    </w:lvl>
    <w:lvl w:ilvl="8" w:tentative="0">
      <w:start w:val="1"/>
      <w:numFmt w:val="lowerRoman"/>
      <w:lvlText w:val="%9."/>
      <w:lvlJc w:val="right"/>
      <w:pPr>
        <w:ind w:left="420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CF5"/>
    <w:rsid w:val="000449D4"/>
    <w:rsid w:val="000476E4"/>
    <w:rsid w:val="00097D93"/>
    <w:rsid w:val="000A4CE0"/>
    <w:rsid w:val="000A75E8"/>
    <w:rsid w:val="000C41F7"/>
    <w:rsid w:val="000D4400"/>
    <w:rsid w:val="000E5420"/>
    <w:rsid w:val="00124084"/>
    <w:rsid w:val="00175344"/>
    <w:rsid w:val="0018467E"/>
    <w:rsid w:val="00195A6F"/>
    <w:rsid w:val="001C541F"/>
    <w:rsid w:val="001F04D5"/>
    <w:rsid w:val="002278C2"/>
    <w:rsid w:val="0024271C"/>
    <w:rsid w:val="002A4D89"/>
    <w:rsid w:val="002A5885"/>
    <w:rsid w:val="0031155C"/>
    <w:rsid w:val="00312717"/>
    <w:rsid w:val="00316958"/>
    <w:rsid w:val="00375935"/>
    <w:rsid w:val="00392524"/>
    <w:rsid w:val="00397C3B"/>
    <w:rsid w:val="003C113D"/>
    <w:rsid w:val="003C428B"/>
    <w:rsid w:val="003D0F43"/>
    <w:rsid w:val="003D1FB8"/>
    <w:rsid w:val="003F0EE6"/>
    <w:rsid w:val="004303DA"/>
    <w:rsid w:val="00432903"/>
    <w:rsid w:val="00437963"/>
    <w:rsid w:val="00442D8C"/>
    <w:rsid w:val="004462E6"/>
    <w:rsid w:val="004949EB"/>
    <w:rsid w:val="004A3AB1"/>
    <w:rsid w:val="004B0881"/>
    <w:rsid w:val="004C2E9E"/>
    <w:rsid w:val="004E75B6"/>
    <w:rsid w:val="004F7CDF"/>
    <w:rsid w:val="00513291"/>
    <w:rsid w:val="005174DB"/>
    <w:rsid w:val="0052146F"/>
    <w:rsid w:val="00545ED0"/>
    <w:rsid w:val="00550A5A"/>
    <w:rsid w:val="0057030F"/>
    <w:rsid w:val="0058463D"/>
    <w:rsid w:val="00594D81"/>
    <w:rsid w:val="005C3BF8"/>
    <w:rsid w:val="005C77B3"/>
    <w:rsid w:val="005E08C3"/>
    <w:rsid w:val="005E0BE5"/>
    <w:rsid w:val="00600A31"/>
    <w:rsid w:val="0062058E"/>
    <w:rsid w:val="00661481"/>
    <w:rsid w:val="00697E16"/>
    <w:rsid w:val="006A1AC3"/>
    <w:rsid w:val="006B1AEE"/>
    <w:rsid w:val="006C07A7"/>
    <w:rsid w:val="006C0C07"/>
    <w:rsid w:val="006C42DF"/>
    <w:rsid w:val="006C6049"/>
    <w:rsid w:val="00713E00"/>
    <w:rsid w:val="007251F6"/>
    <w:rsid w:val="00731135"/>
    <w:rsid w:val="007352A9"/>
    <w:rsid w:val="00740E29"/>
    <w:rsid w:val="007524D6"/>
    <w:rsid w:val="00754812"/>
    <w:rsid w:val="0079286D"/>
    <w:rsid w:val="007D5255"/>
    <w:rsid w:val="007E3967"/>
    <w:rsid w:val="007E51E1"/>
    <w:rsid w:val="007F0CF5"/>
    <w:rsid w:val="00825A4A"/>
    <w:rsid w:val="008A0022"/>
    <w:rsid w:val="008A148E"/>
    <w:rsid w:val="008B0FED"/>
    <w:rsid w:val="008B6627"/>
    <w:rsid w:val="009033FA"/>
    <w:rsid w:val="00903B51"/>
    <w:rsid w:val="00922641"/>
    <w:rsid w:val="00924B12"/>
    <w:rsid w:val="00930181"/>
    <w:rsid w:val="00937FDE"/>
    <w:rsid w:val="00953E05"/>
    <w:rsid w:val="0098316C"/>
    <w:rsid w:val="009905D7"/>
    <w:rsid w:val="009E092F"/>
    <w:rsid w:val="00A20301"/>
    <w:rsid w:val="00A301E4"/>
    <w:rsid w:val="00A46C30"/>
    <w:rsid w:val="00A664D3"/>
    <w:rsid w:val="00A86E6E"/>
    <w:rsid w:val="00A90126"/>
    <w:rsid w:val="00A91956"/>
    <w:rsid w:val="00A95B23"/>
    <w:rsid w:val="00AA06B9"/>
    <w:rsid w:val="00AA55E6"/>
    <w:rsid w:val="00AC27CA"/>
    <w:rsid w:val="00AD313B"/>
    <w:rsid w:val="00B009C6"/>
    <w:rsid w:val="00B50CDB"/>
    <w:rsid w:val="00BB3771"/>
    <w:rsid w:val="00BB3F76"/>
    <w:rsid w:val="00BD2BBC"/>
    <w:rsid w:val="00BD641F"/>
    <w:rsid w:val="00BF246D"/>
    <w:rsid w:val="00BF3F41"/>
    <w:rsid w:val="00BF5022"/>
    <w:rsid w:val="00BF5783"/>
    <w:rsid w:val="00C74771"/>
    <w:rsid w:val="00C7782F"/>
    <w:rsid w:val="00C930F1"/>
    <w:rsid w:val="00CA3DB1"/>
    <w:rsid w:val="00CC6727"/>
    <w:rsid w:val="00CE468C"/>
    <w:rsid w:val="00D01542"/>
    <w:rsid w:val="00D73E0F"/>
    <w:rsid w:val="00D74414"/>
    <w:rsid w:val="00D909CB"/>
    <w:rsid w:val="00D927ED"/>
    <w:rsid w:val="00DC4310"/>
    <w:rsid w:val="00DE494D"/>
    <w:rsid w:val="00DF26F8"/>
    <w:rsid w:val="00E00FC7"/>
    <w:rsid w:val="00E24ED0"/>
    <w:rsid w:val="00E32394"/>
    <w:rsid w:val="00E33BBE"/>
    <w:rsid w:val="00E47C02"/>
    <w:rsid w:val="00E60C0C"/>
    <w:rsid w:val="00EA253A"/>
    <w:rsid w:val="00EA5620"/>
    <w:rsid w:val="00EA6AD8"/>
    <w:rsid w:val="00EC0537"/>
    <w:rsid w:val="00EC32D7"/>
    <w:rsid w:val="00F13970"/>
    <w:rsid w:val="00F23830"/>
    <w:rsid w:val="00F3260A"/>
    <w:rsid w:val="00F521DE"/>
    <w:rsid w:val="00F6241C"/>
    <w:rsid w:val="00F74FA5"/>
    <w:rsid w:val="00FC0072"/>
    <w:rsid w:val="00FF0873"/>
    <w:rsid w:val="030F09AF"/>
    <w:rsid w:val="05347AD2"/>
    <w:rsid w:val="05CB0295"/>
    <w:rsid w:val="06655073"/>
    <w:rsid w:val="0A6D3AAC"/>
    <w:rsid w:val="0BA00B5F"/>
    <w:rsid w:val="0D307569"/>
    <w:rsid w:val="0F101C83"/>
    <w:rsid w:val="13D209C0"/>
    <w:rsid w:val="145357CE"/>
    <w:rsid w:val="145C6999"/>
    <w:rsid w:val="175A4F5C"/>
    <w:rsid w:val="17CC230C"/>
    <w:rsid w:val="185632B7"/>
    <w:rsid w:val="19D24A40"/>
    <w:rsid w:val="1AA4758C"/>
    <w:rsid w:val="1C2721F1"/>
    <w:rsid w:val="1C85102B"/>
    <w:rsid w:val="1DD54C16"/>
    <w:rsid w:val="1F860F84"/>
    <w:rsid w:val="1FE92264"/>
    <w:rsid w:val="20536FB9"/>
    <w:rsid w:val="240A497C"/>
    <w:rsid w:val="24D1520C"/>
    <w:rsid w:val="25C1601B"/>
    <w:rsid w:val="25D078E2"/>
    <w:rsid w:val="264C248B"/>
    <w:rsid w:val="26C7447F"/>
    <w:rsid w:val="26E304A2"/>
    <w:rsid w:val="27C11C87"/>
    <w:rsid w:val="282947F3"/>
    <w:rsid w:val="28AC2371"/>
    <w:rsid w:val="294A14FA"/>
    <w:rsid w:val="2D104B23"/>
    <w:rsid w:val="30A714B4"/>
    <w:rsid w:val="31650E6A"/>
    <w:rsid w:val="31FB7608"/>
    <w:rsid w:val="341B270C"/>
    <w:rsid w:val="35E779FF"/>
    <w:rsid w:val="37085F28"/>
    <w:rsid w:val="3771784D"/>
    <w:rsid w:val="38466C54"/>
    <w:rsid w:val="3AC12021"/>
    <w:rsid w:val="3D4E4889"/>
    <w:rsid w:val="3DD46D58"/>
    <w:rsid w:val="3FF25841"/>
    <w:rsid w:val="43505534"/>
    <w:rsid w:val="448C255B"/>
    <w:rsid w:val="47CA5719"/>
    <w:rsid w:val="49B45094"/>
    <w:rsid w:val="4CAA3D66"/>
    <w:rsid w:val="4CB4682F"/>
    <w:rsid w:val="52441AE7"/>
    <w:rsid w:val="530B573F"/>
    <w:rsid w:val="5808024E"/>
    <w:rsid w:val="584A55DA"/>
    <w:rsid w:val="58A13F6B"/>
    <w:rsid w:val="59FE204F"/>
    <w:rsid w:val="5C3B12A9"/>
    <w:rsid w:val="5CCD537D"/>
    <w:rsid w:val="5D8764E9"/>
    <w:rsid w:val="608C237F"/>
    <w:rsid w:val="6142577F"/>
    <w:rsid w:val="62077CBC"/>
    <w:rsid w:val="641C1EF0"/>
    <w:rsid w:val="649B5961"/>
    <w:rsid w:val="65461FDF"/>
    <w:rsid w:val="6571624E"/>
    <w:rsid w:val="661D1C23"/>
    <w:rsid w:val="66A20705"/>
    <w:rsid w:val="673533A0"/>
    <w:rsid w:val="678315A7"/>
    <w:rsid w:val="68101B70"/>
    <w:rsid w:val="6B092C65"/>
    <w:rsid w:val="6B52734E"/>
    <w:rsid w:val="6CEA29ED"/>
    <w:rsid w:val="6D20367C"/>
    <w:rsid w:val="6D3A1056"/>
    <w:rsid w:val="6EC868EA"/>
    <w:rsid w:val="6EDF073E"/>
    <w:rsid w:val="6EDF4F45"/>
    <w:rsid w:val="6F952C46"/>
    <w:rsid w:val="6FBE07A3"/>
    <w:rsid w:val="70E61A7D"/>
    <w:rsid w:val="71DA188E"/>
    <w:rsid w:val="729F1A9A"/>
    <w:rsid w:val="74661472"/>
    <w:rsid w:val="75014172"/>
    <w:rsid w:val="76635464"/>
    <w:rsid w:val="78827FE6"/>
    <w:rsid w:val="796C7E7C"/>
    <w:rsid w:val="79B75647"/>
    <w:rsid w:val="7B7E60AF"/>
    <w:rsid w:val="7D39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5"/>
    <w:qFormat/>
    <w:uiPriority w:val="99"/>
    <w:rPr>
      <w:rFonts w:ascii="宋体" w:hAnsi="Courier New"/>
    </w:r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p0"/>
    <w:basedOn w:val="1"/>
    <w:qFormat/>
    <w:uiPriority w:val="0"/>
    <w:pPr>
      <w:widowControl/>
    </w:pPr>
    <w:rPr>
      <w:rFonts w:cs="宋体"/>
      <w:kern w:val="0"/>
      <w:szCs w:val="21"/>
    </w:rPr>
  </w:style>
  <w:style w:type="character" w:customStyle="1" w:styleId="11">
    <w:name w:val="页眉 字符"/>
    <w:basedOn w:val="9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2">
    <w:name w:val="页脚 字符"/>
    <w:basedOn w:val="9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styleId="13">
    <w:name w:val="Placeholder Text"/>
    <w:basedOn w:val="9"/>
    <w:semiHidden/>
    <w:qFormat/>
    <w:uiPriority w:val="99"/>
    <w:rPr>
      <w:color w:val="808080"/>
    </w:rPr>
  </w:style>
  <w:style w:type="paragraph" w:customStyle="1" w:styleId="14">
    <w:name w:val="Revision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5">
    <w:name w:val="纯文本 字符"/>
    <w:basedOn w:val="9"/>
    <w:link w:val="2"/>
    <w:uiPriority w:val="99"/>
    <w:rPr>
      <w:rFonts w:ascii="宋体" w:hAnsi="Courier New" w:eastAsia="宋体" w:cs="Times New Roman"/>
      <w:kern w:val="2"/>
      <w:sz w:val="21"/>
      <w:szCs w:val="22"/>
    </w:rPr>
  </w:style>
  <w:style w:type="paragraph" w:customStyle="1" w:styleId="16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7">
    <w:name w:val="List Paragraph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656E7-2805-45E7-9A23-ABCCF205E48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112</Words>
  <Characters>642</Characters>
  <Lines>5</Lines>
  <Paragraphs>1</Paragraphs>
  <TotalTime>2</TotalTime>
  <ScaleCrop>false</ScaleCrop>
  <LinksUpToDate>false</LinksUpToDate>
  <CharactersWithSpaces>753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cmbc</dc:creator>
  <cp:lastModifiedBy>cmbc</cp:lastModifiedBy>
  <dcterms:modified xsi:type="dcterms:W3CDTF">2026-09-15T08:34:04Z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_KSOProductBuildMID">
    <vt:lpwstr>SKWMQ6GH79TA00HG9GR8QL0S7ZQ0OYYREF0XLJDXXGHRTDWTZ8BJQCJ7FSVHPC6RXNM6EOZGZH078LJJQFFARFFV8RZ0WIWBBSODPHB370F99C75F283EAF0B45A49C0E78BB8F1</vt:lpwstr>
  </property>
  <property fmtid="{D5CDD505-2E9C-101B-9397-08002B2CF9AE}" pid="4" name="_KSOProductBuildSID">
    <vt:lpwstr>SYWMR6BV79VQ0THGRGRNRL0C7NMMOAYR9F0XWJEPXGI8TFCTZMBRPCJ6FYYHP86RXFM69OZMZIA78IJJROFA0F8D8RM0WLLB8JODPHB32FEC3F1663522278B6D7F317A2F21F9E</vt:lpwstr>
  </property>
  <property fmtid="{D5CDD505-2E9C-101B-9397-08002B2CF9AE}" pid="5" name="ICV">
    <vt:lpwstr>0C0BABE89C3F4762A998CFA42A98F07F</vt:lpwstr>
  </property>
</Properties>
</file>