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lang w:val="en-US" w:eastAsia="zh-CN"/>
        </w:rPr>
      </w:pPr>
    </w:p>
    <w:p>
      <w:pPr>
        <w:ind w:left="141" w:hanging="141" w:hangingChars="50"/>
        <w:jc w:val="center"/>
        <w:rPr>
          <w:rFonts w:ascii="宋体" w:hAnsi="宋体"/>
          <w:b/>
          <w:sz w:val="24"/>
        </w:rPr>
      </w:pPr>
      <w:r>
        <w:rPr>
          <w:rFonts w:hint="eastAsia" w:ascii="宋体" w:hAnsi="宋体"/>
          <w:b/>
          <w:sz w:val="28"/>
          <w:szCs w:val="28"/>
          <w:lang w:val="en-US" w:eastAsia="zh-CN"/>
        </w:rPr>
        <w:t>北银理财</w:t>
      </w:r>
      <w:r>
        <w:rPr>
          <w:rFonts w:hint="eastAsia" w:ascii="宋体" w:hAnsi="宋体"/>
          <w:b/>
          <w:sz w:val="28"/>
          <w:szCs w:val="28"/>
        </w:rPr>
        <w:t>理财产品销售文件的调整公告</w:t>
      </w:r>
    </w:p>
    <w:p>
      <w:pPr>
        <w:spacing w:line="360" w:lineRule="auto"/>
        <w:rPr>
          <w:rFonts w:ascii="宋体" w:hAnsi="宋体"/>
          <w:b/>
          <w:sz w:val="24"/>
        </w:rPr>
      </w:pPr>
      <w:r>
        <w:rPr>
          <w:rFonts w:hint="eastAsia" w:ascii="宋体" w:hAnsi="宋体"/>
          <w:b/>
          <w:sz w:val="24"/>
        </w:rPr>
        <w:t>尊敬的投资者：</w:t>
      </w:r>
    </w:p>
    <w:p>
      <w:pPr>
        <w:spacing w:line="360" w:lineRule="auto"/>
        <w:ind w:firstLine="480" w:firstLineChars="200"/>
        <w:rPr>
          <w:rFonts w:hint="eastAsia" w:ascii="宋体" w:hAnsi="宋体"/>
          <w:sz w:val="24"/>
          <w:lang w:val="en-US" w:eastAsia="zh-CN"/>
        </w:rPr>
      </w:pPr>
      <w:r>
        <w:rPr>
          <w:rFonts w:hint="eastAsia" w:ascii="宋体" w:hAnsi="宋体"/>
          <w:sz w:val="24"/>
          <w:lang w:val="en-US" w:eastAsia="zh-CN"/>
        </w:rPr>
        <w:t>为更好地保护投资者权益，</w:t>
      </w:r>
      <w:r>
        <w:rPr>
          <w:rFonts w:hint="eastAsia" w:ascii="宋体" w:hAnsi="宋体"/>
          <w:sz w:val="24"/>
        </w:rPr>
        <w:t>产品管理人拟对</w:t>
      </w:r>
      <w:r>
        <w:rPr>
          <w:rFonts w:hint="eastAsia" w:ascii="宋体" w:hAnsi="宋体"/>
          <w:sz w:val="24"/>
          <w:lang w:val="en-US" w:eastAsia="zh-CN"/>
        </w:rPr>
        <w:t>2026</w:t>
      </w:r>
      <w:r>
        <w:rPr>
          <w:rFonts w:hint="eastAsia" w:ascii="宋体" w:hAnsi="宋体"/>
          <w:sz w:val="24"/>
        </w:rPr>
        <w:t>年</w:t>
      </w:r>
      <w:r>
        <w:rPr>
          <w:rFonts w:hint="eastAsia" w:ascii="宋体" w:hAnsi="宋体"/>
          <w:sz w:val="24"/>
          <w:lang w:val="en-US" w:eastAsia="zh-CN"/>
        </w:rPr>
        <w:t>9</w:t>
      </w:r>
      <w:r>
        <w:rPr>
          <w:rFonts w:hint="eastAsia" w:ascii="宋体" w:hAnsi="宋体"/>
          <w:sz w:val="24"/>
        </w:rPr>
        <w:t>月</w:t>
      </w:r>
      <w:r>
        <w:rPr>
          <w:rFonts w:hint="eastAsia" w:ascii="宋体" w:hAnsi="宋体"/>
          <w:sz w:val="24"/>
          <w:lang w:val="en-US" w:eastAsia="zh-CN"/>
        </w:rPr>
        <w:t>18</w:t>
      </w:r>
      <w:r>
        <w:rPr>
          <w:rFonts w:hint="eastAsia" w:ascii="宋体" w:hAnsi="宋体"/>
          <w:sz w:val="24"/>
        </w:rPr>
        <w:t>日存续的理财产品（</w:t>
      </w:r>
      <w:r>
        <w:rPr>
          <w:rFonts w:hint="eastAsia" w:ascii="宋体" w:hAnsi="宋体"/>
          <w:sz w:val="24"/>
          <w:lang w:val="en-US" w:eastAsia="zh-CN"/>
        </w:rPr>
        <w:t>产品代码、</w:t>
      </w:r>
      <w:r>
        <w:rPr>
          <w:rFonts w:hint="eastAsia" w:ascii="宋体" w:hAnsi="宋体"/>
          <w:sz w:val="24"/>
        </w:rPr>
        <w:t>产品名称、产品登记编码、产品成立日见公告附件）销售文件进行</w:t>
      </w:r>
      <w:r>
        <w:rPr>
          <w:rFonts w:hint="eastAsia" w:ascii="宋体" w:hAnsi="宋体"/>
          <w:sz w:val="24"/>
          <w:lang w:val="en-US" w:eastAsia="zh-CN"/>
        </w:rPr>
        <w:t>修订，</w:t>
      </w:r>
      <w:r>
        <w:rPr>
          <w:rFonts w:hint="eastAsia" w:ascii="宋体" w:hAnsi="宋体"/>
          <w:sz w:val="24"/>
        </w:rPr>
        <w:t>本次调整不影响产品的风险评级</w:t>
      </w:r>
      <w:r>
        <w:rPr>
          <w:rFonts w:hint="eastAsia" w:ascii="宋体" w:hAnsi="宋体"/>
          <w:sz w:val="24"/>
          <w:lang w:val="en-US" w:eastAsia="zh-CN"/>
        </w:rPr>
        <w:t>及投资运作</w:t>
      </w:r>
      <w:r>
        <w:rPr>
          <w:rFonts w:hint="eastAsia" w:ascii="宋体" w:hAnsi="宋体"/>
          <w:sz w:val="24"/>
          <w:lang w:eastAsia="zh-CN"/>
        </w:rPr>
        <w:t>，</w:t>
      </w:r>
      <w:r>
        <w:rPr>
          <w:rFonts w:hint="eastAsia" w:ascii="宋体" w:hAnsi="宋体"/>
          <w:sz w:val="24"/>
          <w:lang w:val="en-US" w:eastAsia="zh-CN"/>
        </w:rPr>
        <w:t>具体内容如下：</w:t>
      </w:r>
    </w:p>
    <w:p>
      <w:pPr>
        <w:spacing w:line="360" w:lineRule="auto"/>
        <w:ind w:firstLine="480" w:firstLineChars="200"/>
        <w:rPr>
          <w:rFonts w:hint="default" w:ascii="宋体" w:hAnsi="宋体"/>
          <w:sz w:val="24"/>
          <w:lang w:val="en-US" w:eastAsia="zh-CN"/>
        </w:rPr>
      </w:pPr>
      <w:r>
        <w:rPr>
          <w:rFonts w:hint="eastAsia" w:ascii="宋体" w:hAnsi="宋体"/>
          <w:sz w:val="24"/>
          <w:lang w:val="en-US" w:eastAsia="zh-CN"/>
        </w:rPr>
        <w:t>1.《风险揭示书》中的“一、风险揭示”中的“（十四）理财产品份额类别存在差异的风险”内容完善为“产品管理人有权对本理财产品份额设置不同的类别。不同类别的理财产品份额可能在产品销售名称、产品销售代码、钞汇标志、销售机构、渠道客群、销售区域、销售手续费率、认购/申购投资起点金额及递增金额、单笔最大购买金额、累计购买金额、单户持有金额、最低赎回份额、最低持有份额等限制、产品募集规模上下限、收益结转规则及信息披露渠道等方面存在差异。”</w:t>
      </w:r>
    </w:p>
    <w:p>
      <w:pPr>
        <w:spacing w:line="360" w:lineRule="auto"/>
        <w:ind w:firstLine="480" w:firstLineChars="200"/>
        <w:rPr>
          <w:rFonts w:hint="default" w:ascii="宋体" w:hAnsi="宋体" w:eastAsia="宋体" w:cs="Times New Roman"/>
          <w:sz w:val="24"/>
          <w:lang w:val="en-US" w:eastAsia="zh-CN"/>
        </w:rPr>
      </w:pPr>
      <w:r>
        <w:rPr>
          <w:rFonts w:hint="eastAsia" w:ascii="宋体" w:hAnsi="宋体"/>
          <w:sz w:val="24"/>
          <w:lang w:val="en-US" w:eastAsia="zh-CN"/>
        </w:rPr>
        <w:t>2.《理财产品说明书》中的“二、释义”中的“（二）理财产品用语”中的“3.理财产品份额类别/产品份额类别”内容</w:t>
      </w:r>
      <w:r>
        <w:rPr>
          <w:rFonts w:hint="eastAsia" w:ascii="宋体" w:hAnsi="宋体" w:eastAsia="宋体" w:cs="Times New Roman"/>
          <w:sz w:val="24"/>
          <w:lang w:val="en-US" w:eastAsia="zh-CN"/>
        </w:rPr>
        <w:t>完善为“指产品管理人有权对本理财产品份额设置不同的类别。不同类别的理财产品份额可能在产品销售名称、产品销售代码、钞汇标志、销售机构、渠道客群、销售区域、销售手续费率、认购/申购投资起点金额及递增金额、单笔最大购买金额、累计购买金额、单户持有金额、最低赎回份额、最低持有份额等限制、产品募集规模上下限、收益结转规则及信息披露渠道等方面存在差异。各产品份额类别的差异性约定在本理财产品销售文件中进行明确列举，除明确列举所适用产品份额类别的条款外，本理财产品销售文件其他条款均适用于全部份额。投资者可根据实际情况自行选择认购/申购的产品份额类别，不同类别理财产品份额的差异性具体以其对应的理财产品销售文件之约定为准，且本理财产品销售文件可能因销售渠道原因仅列示部分产品份额类别。产品管理人有权在本理财产品项下增设新的产品份额类别，届时，产品管理人将依据本理财产品销售文件的约定进行信息披露。”</w:t>
      </w:r>
    </w:p>
    <w:p>
      <w:pPr>
        <w:spacing w:line="360" w:lineRule="auto"/>
        <w:ind w:firstLine="480" w:firstLineChars="200"/>
        <w:rPr>
          <w:rFonts w:hint="eastAsia" w:ascii="宋体" w:hAnsi="宋体"/>
          <w:sz w:val="24"/>
          <w:lang w:val="en-US" w:eastAsia="zh-CN"/>
        </w:rPr>
      </w:pPr>
      <w:r>
        <w:rPr>
          <w:rFonts w:hint="eastAsia" w:ascii="宋体" w:hAnsi="宋体"/>
          <w:sz w:val="24"/>
          <w:lang w:val="en-US" w:eastAsia="zh-CN"/>
        </w:rPr>
        <w:t>3.《理财产品说明书》中的“二、释义”中的“（三）期间与日期”</w:t>
      </w:r>
      <w:r>
        <w:rPr>
          <w:rFonts w:hint="eastAsia" w:ascii="宋体" w:hAnsi="宋体" w:eastAsia="宋体" w:cs="Times New Roman"/>
          <w:sz w:val="24"/>
          <w:lang w:val="en-US" w:eastAsia="zh-CN"/>
        </w:rPr>
        <w:t>新增“10、每日：指每自然日。”</w:t>
      </w:r>
    </w:p>
    <w:p>
      <w:pPr>
        <w:spacing w:line="360" w:lineRule="auto"/>
        <w:ind w:firstLine="480" w:firstLineChars="200"/>
        <w:rPr>
          <w:rFonts w:hint="default" w:ascii="宋体" w:hAnsi="宋体"/>
          <w:sz w:val="24"/>
          <w:lang w:val="en-US" w:eastAsia="zh-CN"/>
        </w:rPr>
      </w:pPr>
      <w:r>
        <w:rPr>
          <w:rFonts w:hint="eastAsia" w:ascii="宋体" w:hAnsi="宋体"/>
          <w:sz w:val="24"/>
          <w:lang w:val="en-US" w:eastAsia="zh-CN"/>
        </w:rPr>
        <w:t>4.《理财产品说明书》中的“七、产品的收益分配”中的“（四）收益分配方案”中相关结转份额表述调整为“本理财产品收益分配方式为红利再投资，每交易日收益结转份额，投资者可通过赎回其持有的本理财产品份额获得现金收益。本理财产品根据每日收益情况，将当日收益全部计提，若当日净收益大于零时，则增加投资者持有的产品份额；若当日净收益等于零时，则保持投资者持有的产品份额不变；产品管理人将采取必要措施尽量避免本理财产品净收益小于零，若当日净收益小于零时，将缩减投资者持有的产品份额。具体以本理财产品实际收益为准，产品管理人每日为投资者计提当日理财收益，每交易日结转份额。”</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kern w:val="2"/>
          <w:sz w:val="24"/>
          <w:lang w:val="en-US" w:eastAsia="zh-CN" w:bidi="ar-SA"/>
        </w:rPr>
      </w:pPr>
      <w:r>
        <w:rPr>
          <w:rFonts w:hint="eastAsia" w:ascii="宋体" w:hAnsi="宋体" w:eastAsia="宋体" w:cs="Times New Roman"/>
          <w:kern w:val="2"/>
          <w:sz w:val="24"/>
          <w:lang w:val="en-US" w:eastAsia="zh-CN" w:bidi="ar-SA"/>
        </w:rPr>
        <w:t>本公告自2026年9月22日生效，本公告生效之日起为理财产品销售文件的组成部分，理财产品销售文件与本公告内容不一致的，以本公告内容为准。</w:t>
      </w:r>
    </w:p>
    <w:p>
      <w:pPr>
        <w:spacing w:line="360" w:lineRule="auto"/>
        <w:ind w:firstLine="480" w:firstLineChars="200"/>
        <w:rPr>
          <w:rFonts w:hint="eastAsia" w:ascii="宋体" w:hAnsi="宋体" w:eastAsia="宋体" w:cs="Times New Roman"/>
          <w:kern w:val="2"/>
          <w:sz w:val="24"/>
          <w:lang w:val="en-US" w:eastAsia="zh-CN" w:bidi="ar-SA"/>
        </w:rPr>
      </w:pPr>
      <w:r>
        <w:rPr>
          <w:rFonts w:hint="eastAsia" w:ascii="宋体" w:hAnsi="宋体" w:eastAsia="宋体" w:cs="Times New Roman"/>
          <w:kern w:val="2"/>
          <w:sz w:val="24"/>
          <w:lang w:val="en-US" w:eastAsia="zh-CN" w:bidi="ar-SA"/>
        </w:rPr>
        <w:t>感谢您一直以来对北银理财的信赖与支持！我司将继续为您提供更优质的理财服务。</w:t>
      </w:r>
    </w:p>
    <w:p>
      <w:pPr>
        <w:spacing w:line="360" w:lineRule="auto"/>
        <w:ind w:firstLine="480" w:firstLineChars="200"/>
        <w:rPr>
          <w:rFonts w:hint="eastAsia" w:ascii="宋体" w:hAnsi="宋体" w:eastAsia="宋体" w:cs="Times New Roman"/>
          <w:kern w:val="2"/>
          <w:sz w:val="24"/>
          <w:lang w:val="en-US" w:eastAsia="zh-CN" w:bidi="ar-SA"/>
        </w:rPr>
      </w:pPr>
      <w:r>
        <w:rPr>
          <w:rFonts w:hint="eastAsia" w:ascii="宋体" w:hAnsi="宋体" w:eastAsia="宋体" w:cs="Times New Roman"/>
          <w:kern w:val="2"/>
          <w:sz w:val="24"/>
          <w:lang w:val="en-US" w:eastAsia="zh-CN" w:bidi="ar-SA"/>
        </w:rPr>
        <w:t>特此公告。</w:t>
      </w:r>
    </w:p>
    <w:p>
      <w:pPr>
        <w:spacing w:line="360" w:lineRule="auto"/>
        <w:ind w:firstLine="480" w:firstLineChars="200"/>
        <w:rPr>
          <w:rFonts w:hint="eastAsia" w:ascii="宋体" w:hAnsi="宋体" w:eastAsia="宋体" w:cs="Times New Roman"/>
          <w:kern w:val="2"/>
          <w:sz w:val="24"/>
          <w:lang w:val="en-US" w:eastAsia="zh-CN" w:bidi="ar-SA"/>
        </w:rPr>
      </w:pPr>
      <w:r>
        <w:rPr>
          <w:rFonts w:hint="eastAsia" w:ascii="宋体" w:hAnsi="宋体" w:eastAsia="宋体" w:cs="Times New Roman"/>
          <w:kern w:val="2"/>
          <w:sz w:val="24"/>
          <w:lang w:val="en-US" w:eastAsia="zh-CN" w:bidi="ar-SA"/>
        </w:rPr>
        <w:t xml:space="preserve">                                            北银理财有限责任公司</w:t>
      </w:r>
    </w:p>
    <w:p>
      <w:pPr>
        <w:spacing w:line="360" w:lineRule="auto"/>
        <w:ind w:firstLine="480" w:firstLineChars="200"/>
        <w:rPr>
          <w:rFonts w:hint="eastAsia" w:ascii="宋体" w:hAnsi="宋体" w:eastAsia="宋体" w:cs="Times New Roman"/>
          <w:kern w:val="2"/>
          <w:sz w:val="24"/>
          <w:lang w:val="en-US" w:eastAsia="zh-CN" w:bidi="ar-SA"/>
        </w:rPr>
      </w:pPr>
      <w:r>
        <w:rPr>
          <w:rFonts w:hint="eastAsia" w:ascii="宋体" w:hAnsi="宋体" w:eastAsia="宋体" w:cs="Times New Roman"/>
          <w:kern w:val="2"/>
          <w:sz w:val="24"/>
          <w:lang w:val="en-US" w:eastAsia="zh-CN" w:bidi="ar-SA"/>
        </w:rPr>
        <w:t xml:space="preserve">                                              </w:t>
      </w:r>
      <w:r>
        <w:rPr>
          <w:rFonts w:hint="eastAsia" w:ascii="宋体" w:hAnsi="宋体" w:cs="Times New Roman"/>
          <w:kern w:val="2"/>
          <w:sz w:val="24"/>
          <w:lang w:val="en-US" w:eastAsia="zh-CN" w:bidi="ar-SA"/>
        </w:rPr>
        <w:t>2026</w:t>
      </w:r>
      <w:r>
        <w:rPr>
          <w:rFonts w:hint="eastAsia" w:ascii="宋体" w:hAnsi="宋体" w:eastAsia="宋体" w:cs="Times New Roman"/>
          <w:kern w:val="2"/>
          <w:sz w:val="24"/>
          <w:lang w:val="en-US" w:eastAsia="zh-CN" w:bidi="ar-SA"/>
        </w:rPr>
        <w:t>年</w:t>
      </w:r>
      <w:r>
        <w:rPr>
          <w:rFonts w:hint="eastAsia" w:ascii="宋体" w:hAnsi="宋体" w:cs="Times New Roman"/>
          <w:kern w:val="2"/>
          <w:sz w:val="24"/>
          <w:lang w:val="en-US" w:eastAsia="zh-CN" w:bidi="ar-SA"/>
        </w:rPr>
        <w:t>9</w:t>
      </w:r>
      <w:r>
        <w:rPr>
          <w:rFonts w:hint="eastAsia" w:ascii="宋体" w:hAnsi="宋体" w:eastAsia="宋体" w:cs="Times New Roman"/>
          <w:kern w:val="2"/>
          <w:sz w:val="24"/>
          <w:lang w:val="en-US" w:eastAsia="zh-CN" w:bidi="ar-SA"/>
        </w:rPr>
        <w:t>月</w:t>
      </w:r>
      <w:r>
        <w:rPr>
          <w:rFonts w:hint="eastAsia" w:ascii="宋体" w:hAnsi="宋体" w:cs="Times New Roman"/>
          <w:kern w:val="2"/>
          <w:sz w:val="24"/>
          <w:lang w:val="en-US" w:eastAsia="zh-CN" w:bidi="ar-SA"/>
        </w:rPr>
        <w:t>18</w:t>
      </w:r>
      <w:r>
        <w:rPr>
          <w:rFonts w:hint="eastAsia" w:ascii="宋体" w:hAnsi="宋体" w:eastAsia="宋体" w:cs="Times New Roman"/>
          <w:kern w:val="2"/>
          <w:sz w:val="24"/>
          <w:lang w:val="en-US" w:eastAsia="zh-CN" w:bidi="ar-SA"/>
        </w:rPr>
        <w:t>日</w:t>
      </w:r>
    </w:p>
    <w:p>
      <w:pPr>
        <w:rPr>
          <w:b/>
          <w:bCs/>
        </w:rPr>
      </w:pPr>
      <w:r>
        <w:rPr>
          <w:b/>
          <w:bCs/>
        </w:rPr>
        <w:br w:type="page"/>
      </w:r>
    </w:p>
    <w:p>
      <w:pPr>
        <w:pStyle w:val="2"/>
        <w:keepNext w:val="0"/>
        <w:keepLines w:val="0"/>
        <w:pageBreakBefore w:val="0"/>
        <w:widowControl/>
        <w:kinsoku/>
        <w:wordWrap/>
        <w:overflowPunct/>
        <w:topLinePunct w:val="0"/>
        <w:autoSpaceDE/>
        <w:autoSpaceDN/>
        <w:bidi w:val="0"/>
        <w:adjustRightInd/>
        <w:snapToGrid/>
        <w:ind w:left="0" w:leftChars="0" w:firstLine="0"/>
        <w:textAlignment w:val="auto"/>
        <w:rPr>
          <w:rFonts w:hint="eastAsia"/>
          <w:b/>
          <w:bCs/>
          <w:sz w:val="28"/>
          <w:szCs w:val="24"/>
          <w:lang w:val="en-US" w:eastAsia="zh-CN"/>
        </w:rPr>
      </w:pPr>
      <w:r>
        <w:rPr>
          <w:rFonts w:hint="eastAsia"/>
          <w:b/>
          <w:bCs/>
          <w:sz w:val="28"/>
          <w:szCs w:val="24"/>
          <w:lang w:val="en-US" w:eastAsia="zh-CN"/>
        </w:rPr>
        <w:t>附件：</w:t>
      </w:r>
    </w:p>
    <w:tbl>
      <w:tblPr>
        <w:tblStyle w:val="6"/>
        <w:tblW w:w="6702"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65"/>
        <w:gridCol w:w="1365"/>
        <w:gridCol w:w="5856"/>
        <w:gridCol w:w="1948"/>
        <w:gridCol w:w="13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序号</w:t>
            </w:r>
          </w:p>
        </w:tc>
        <w:tc>
          <w:tcPr>
            <w:tcW w:w="597" w:type="pct"/>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产品代码</w:t>
            </w:r>
          </w:p>
        </w:tc>
        <w:tc>
          <w:tcPr>
            <w:tcW w:w="2563" w:type="pct"/>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产品名称</w:t>
            </w:r>
          </w:p>
        </w:tc>
        <w:tc>
          <w:tcPr>
            <w:tcW w:w="852" w:type="pct"/>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产品登记编码</w:t>
            </w:r>
          </w:p>
        </w:tc>
        <w:tc>
          <w:tcPr>
            <w:tcW w:w="607" w:type="pct"/>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成立日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TG01190701</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北银理财京华远见易淘金现金管理类理财管理计划</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Z7008922000052</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2019/8/30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TG01210102</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北银理财京华远见医宝金现金管理类理财管理计划</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Z7008922000184</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2021/1/26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TG01210202</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北银理财京华远见易淘金（新客）现金管理类理财管理计划</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Z7008922000084</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2021/2/2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TG01210502</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北银理财京华远见易淘金尊享现金管理类理财管理计划</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Z7008922000156</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2021/5/19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TG01231005</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北银理财京华远见春系列日享金现金管理类理财产品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Z7008923000156</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2023/10/24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TG01231024</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北银理财京华远见春系列易淘金10号现金管理类理财产品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Z7008923000185</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2023/12/20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TG01231101</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北银理财京华远见春系列易淘金16号现金管理类理财产品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Z7008923000234</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2024/1/10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TG02231201</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北银理财京华远见春系列日开薪1号现金管理类理财产品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Z7008923000266</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2024/1/24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JY01230001</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北银理财京华远见春系列京元宝1号现金管理类理财产品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Z7008923000194</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2024/1/31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JY01230002</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北银理财京华远见春系列京元宝2号现金管理类理财产品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Z7008923000195</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2024/1/31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JY01230003</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北银理财京华远见春系列京元宝3号现金管理类理财产品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Z7008923000196</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2024/1/31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JY01230004</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北银理财京华远见春系列京元宝4号现金管理类理财产品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Z7008923000197</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2024/1/31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JY01230005</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北银理财京华远见春系列京元宝5号现金管理类理财产品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Z7008923000198</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2024/1/31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JY01230006</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北银理财京华远见春系列京元宝6号现金管理类理财产品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Z7008923000199</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2024/1/31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JY01230007</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北银理财京华远见春系列京元宝7号现金管理类理财产品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Z7008923000200</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2024/1/31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JY01230008</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北银理财京华远见春系列京元宝8号现金管理类理财产品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Z7008923000201</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2024/1/31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JY01230009</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北银理财京华远见春系列京元宝9号现金管理类理财产品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Z7008923000202</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2024/1/31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JY01230010</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北银理财京华远见春系列京元宝10号现金管理类理财产品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Z7008923000203</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2024/1/31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JY01230011</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北银理财京华远见春系列京元宝11号现金管理类理财产品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Z7008923000204</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2024/1/31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JY01230012</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北银理财京华远见春系列京元宝12号现金管理类理财产品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Z7008923000205</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2024/1/31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JY01230013</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北银理财京华远见春系列京元宝13号现金管理类理财产品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Z7008923000206</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2024/1/31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JY01230014</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北银理财京华远见春系列京元宝14号现金管理类理财产品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Z7008923000207</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2024/1/31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JY01230015</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北银理财京华远见春系列京元宝15号现金管理类理财产品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Z7008923000208</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2024/1/31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JY01230016</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北银理财京华远见春系列京元宝16号现金管理类理财产品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Z7008923000209</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2024/1/31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JY01230017</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北银理财京华远见春系列京元宝17号现金管理类理财产品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Z7008923000210</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2024/1/31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JY01230018</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北银理财京华远见春系列京元宝18号现金管理类理财产品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Z7008923000211</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2024/1/31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JY01230019</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北银理财京华远见春系列京元宝19号现金管理类理财产品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Z7008923000212</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2024/1/31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JY01230020</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北银理财京华远见春系列京元宝20号现金管理类理财产品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Z7008923000213</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2024/1/31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JY01230021</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北银理财京华远见春系列京元宝21号现金管理类理财产品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Z7008923000214</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2024/1/31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JY01230022</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北银理财京华远见春系列京元宝22号现金管理类理财产品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Z7008923000215</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2024/1/31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JY01230023</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北银理财京华远见春系列京元宝23号现金管理类理财产品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Z7008923000216</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2024/1/31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JY01230024</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北银理财京华远见春系列京元宝24号现金管理类理财产品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Z7008923000217</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2024/1/31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JY01230025</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北银理财京华远见春系列京元宝25号现金管理类理财产品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Z7008923000218</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2024/1/31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JY01230026</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北银理财京华远见春系列京元宝26号现金管理类理财产品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Z7008923000219</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2024/1/31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JY01230027</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北银理财京华远见春系列京元宝27号现金管理类理财产品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Z7008923000220</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2024/1/31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JY01230028</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北银理财京华远见春系列京元宝28号现金管理类理财产品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Z7008923000221</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2024/1/31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JY01230029</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北银理财京华远见春系列京元宝29号现金管理类理财产品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Z7008923000222</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2024/1/31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JY01230030</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北银理财京华远见春系列京元宝30号现金管理类理财产品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Z7008923000223</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2024/1/31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TG01231017</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北银理财京华远见春系列易淘金3号现金管理类理财产品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Z7008923000178</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TG01231020</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北银理财京华远见春系列易淘金6号现金管理类理财产品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Z7008923000181</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2024/3/6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TG01231102</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北银理财京华远见春系列易淘金17号现金管理类理财产品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Z7008923000235</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2024/3/7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TG01231022</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北银理财京华远见春系列易淘金8号现金管理类理财产品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Z7008923000183</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2024/3/18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TG01231103</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北银理财京华远见春系列易淘金18号现金管理类理财产品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Z7008923000236</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2024/3/19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TG01231016</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北银理财京华远见春系列易淘金2号现金管理类理财产品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Z7008923000177</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2024/5/24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TG01231104</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北银理财京华远见春系列易淘金19号现金管理类理财产品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Z7008923000237</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2024/5/24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TG01231105</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北银理财京华远见春系列易淘金20号现金管理类理财产品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Z7008923000238</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2024/6/21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TG01231023</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北银理财京华远见春系列易淘金9号现金管理类理财产品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Z7008923000184</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2024/7/16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TG01231019</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北银理财京华远见春系列易淘金5号现金管理类理财产品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Z7008923000180</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2024/8/22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49</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TG01240367</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北银理财京华远见春系列易淘金28号现金管理类理财产品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Z7008924000153</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2024/9/13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YJ01249020</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北银理财京华远见春系列易淘金21号现金管理类理财产品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Z7008924000416</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2024/9/20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YJ01241103</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北银理财京华远见春系列易淘金60号现金管理类理财产品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Z7008924000489</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2024/12/3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3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r>
              <w:rPr>
                <w:rFonts w:hint="eastAsia" w:ascii="宋体" w:hAnsi="宋体" w:cs="宋体"/>
                <w:i w:val="0"/>
                <w:iCs w:val="0"/>
                <w:color w:val="000000"/>
                <w:kern w:val="0"/>
                <w:sz w:val="22"/>
                <w:szCs w:val="22"/>
                <w:u w:val="none"/>
                <w:lang w:val="en-US" w:eastAsia="zh-CN" w:bidi="ar"/>
              </w:rPr>
              <w:t>2</w:t>
            </w:r>
          </w:p>
        </w:tc>
        <w:tc>
          <w:tcPr>
            <w:tcW w:w="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YJ01260202</w:t>
            </w:r>
          </w:p>
        </w:tc>
        <w:tc>
          <w:tcPr>
            <w:tcW w:w="25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北银理财京华远见春系列易淘金11号现金管理类理财产品</w:t>
            </w:r>
          </w:p>
        </w:tc>
        <w:tc>
          <w:tcPr>
            <w:tcW w:w="8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Z7008926000090</w:t>
            </w:r>
          </w:p>
        </w:tc>
        <w:tc>
          <w:tcPr>
            <w:tcW w:w="6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2026/3/20</w:t>
            </w:r>
          </w:p>
        </w:tc>
      </w:tr>
    </w:tbl>
    <w:p>
      <w:pPr>
        <w:pStyle w:val="5"/>
        <w:rPr>
          <w:rFonts w:hint="eastAsia"/>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mZWYyOTkyZDQ2NzAxNzg1YzkyM2EwYTVmYmY2YzAifQ=="/>
  </w:docVars>
  <w:rsids>
    <w:rsidRoot w:val="64CA6725"/>
    <w:rsid w:val="017B2310"/>
    <w:rsid w:val="09246605"/>
    <w:rsid w:val="2F5D329A"/>
    <w:rsid w:val="3C8F22E7"/>
    <w:rsid w:val="49A76615"/>
    <w:rsid w:val="64CA6725"/>
    <w:rsid w:val="6A211646"/>
    <w:rsid w:val="6B645F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jc w:val="both"/>
    </w:pPr>
    <w:rPr>
      <w:rFonts w:ascii="Times New Roman" w:hAnsi="Times New Roman" w:eastAsia="宋体" w:cs="Times New Roman"/>
      <w:kern w:val="2"/>
      <w:sz w:val="21"/>
      <w:lang w:val="en-US" w:eastAsia="zh-CN" w:bidi="ar-SA"/>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5"/>
    <w:unhideWhenUsed/>
    <w:qFormat/>
    <w:uiPriority w:val="99"/>
    <w:pPr>
      <w:spacing w:after="0"/>
      <w:ind w:left="360" w:firstLine="360"/>
    </w:pPr>
  </w:style>
  <w:style w:type="paragraph" w:styleId="3">
    <w:name w:val="Body Text Indent"/>
    <w:basedOn w:val="1"/>
    <w:next w:val="4"/>
    <w:unhideWhenUsed/>
    <w:qFormat/>
    <w:uiPriority w:val="99"/>
    <w:pPr>
      <w:spacing w:after="120" w:line="300" w:lineRule="auto"/>
      <w:ind w:left="420" w:leftChars="200"/>
    </w:pPr>
    <w:rPr>
      <w:rFonts w:ascii="Calibri" w:hAnsi="Calibri"/>
    </w:rPr>
  </w:style>
  <w:style w:type="paragraph" w:styleId="4">
    <w:name w:val="Normal Indent"/>
    <w:basedOn w:val="1"/>
    <w:next w:val="1"/>
    <w:unhideWhenUsed/>
    <w:qFormat/>
    <w:uiPriority w:val="99"/>
    <w:pPr>
      <w:ind w:firstLine="420" w:firstLineChars="200"/>
    </w:pPr>
  </w:style>
  <w:style w:type="paragraph" w:styleId="5">
    <w:name w:val="Body Text"/>
    <w:basedOn w:val="1"/>
    <w:next w:val="1"/>
    <w:qFormat/>
    <w:uiPriority w:val="0"/>
    <w:pPr>
      <w:spacing w:after="120"/>
    </w:pPr>
    <w:rPr>
      <w:rFonts w:ascii="等线" w:hAnsi="等线" w:eastAsia="等线"/>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8</TotalTime>
  <ScaleCrop>false</ScaleCrop>
  <LinksUpToDate>false</LinksUpToDate>
  <CharactersWithSpaces>0</CharactersWithSpaces>
  <Application>WPS Office_11.8.2.12055_F1E327BC-269C-435d-A152-05C5408002CA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2026-09-17T03:11:00Z</dcterms:created>
  <dc:creator>王珍</dc:creator>
  <cp:lastModifiedBy>刘丽丽_产品管理部</cp:lastModifiedBy>
  <dcterms:modified xsi:type="dcterms:W3CDTF">2026-09-18T08:23:43Z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2052-11.8.2.12055</vt:lpwstr>
  </property>
  <property fmtid="{D5CDD505-2E9C-101B-9397-08002B2CF9AE}" pid="3" name="ICV">
    <vt:lpwstr>36244AE95FB0440FAE835920C60926D1</vt:lpwstr>
  </property>
</Properties>
</file>