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 xml:space="preserve"> 温州银行“金鹿理财-普惠季享”</w:t>
      </w:r>
      <w:r>
        <w:rPr>
          <w:rFonts w:hint="eastAsia" w:ascii="黑体" w:eastAsia="黑体"/>
          <w:color w:val="000000"/>
          <w:sz w:val="30"/>
          <w:szCs w:val="30"/>
          <w:highlight w:val="none"/>
          <w:u w:val="single"/>
        </w:rPr>
        <w:t>12</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普惠季享”</w:t>
      </w:r>
      <w:r>
        <w:rPr>
          <w:rFonts w:hint="eastAsia"/>
          <w:color w:val="000000"/>
          <w:szCs w:val="21"/>
          <w:highlight w:val="none"/>
          <w:u w:val="single"/>
        </w:rPr>
        <w:t>12</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“金鹿理财-普惠季享”12号开放式净值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季享”12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季享”12号开放式净值型银行理财计划产品说明书》、《温州银行“金鹿理财-普惠季享”12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温州银行“金鹿理财-普惠季享”</w:t>
      </w:r>
      <w:r>
        <w:rPr>
          <w:rFonts w:hint="eastAsia" w:ascii="黑体" w:eastAsia="黑体"/>
          <w:color w:val="000000"/>
          <w:sz w:val="30"/>
          <w:szCs w:val="30"/>
          <w:highlight w:val="none"/>
          <w:u w:val="single"/>
        </w:rPr>
        <w:t>12</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普惠季享”12号开放式净值型银行理财计划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“金鹿理财-普惠季享”</w:t>
            </w:r>
            <w:r>
              <w:rPr>
                <w:rFonts w:hint="eastAsia"/>
                <w:color w:val="000000"/>
                <w:sz w:val="18"/>
                <w:szCs w:val="18"/>
                <w:highlight w:val="none"/>
                <w:u w:val="single"/>
              </w:rPr>
              <w:t>12</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JX0012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C1092221000155</w:t>
            </w:r>
          </w:p>
          <w:p>
            <w:pPr>
              <w:pStyle w:val="15"/>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w:t>
            </w:r>
            <w:r>
              <w:rPr>
                <w:rFonts w:hint="eastAsia" w:cs="Times New Roman"/>
                <w:sz w:val="18"/>
                <w:szCs w:val="18"/>
                <w:highlight w:val="none"/>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2021年8月10日</w:t>
            </w:r>
            <w:r>
              <w:rPr>
                <w:rFonts w:hint="eastAsia"/>
                <w:sz w:val="18"/>
                <w:szCs w:val="18"/>
                <w:u w:val="single"/>
              </w:rPr>
              <w:t>至</w:t>
            </w:r>
            <w:r>
              <w:rPr>
                <w:rFonts w:hint="eastAsia"/>
                <w:color w:val="000000"/>
                <w:sz w:val="18"/>
                <w:szCs w:val="18"/>
                <w:u w:val="single"/>
                <w:lang w:val="en-US" w:eastAsia="zh-CN"/>
              </w:rPr>
              <w:t>2021年8月16日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首个投资运作周期的业绩比较基准为4.05%（年化）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本理财计划成立日为2021年8月17日。温州银行有权根据实际募集情况选择产品提前成立，若温州银行采取以上措施，温州银行将就产品相应要素的调整事宜于提前成立日前的一个工作日在温州银行网站予以公告。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91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《温州银行“金鹿理财-普惠季享”12号开放式净值型（第i期）银行理财计划开放认购（申购）申请书》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认购（申购）资金对应的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w:t>
            </w:r>
            <w:r>
              <w:rPr>
                <w:rFonts w:hint="eastAsia" w:ascii="宋体" w:hAnsi="宋体"/>
                <w:sz w:val="18"/>
                <w:highlight w:val="none"/>
                <w:lang w:eastAsia="zh-CN"/>
              </w:rPr>
              <w:t>，</w:t>
            </w:r>
            <w:r>
              <w:rPr>
                <w:rFonts w:hint="eastAsia" w:ascii="宋体" w:hAnsi="宋体"/>
                <w:sz w:val="18"/>
                <w:highlight w:val="none"/>
              </w:rPr>
              <w:t>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rFonts w:hint="eastAsia" w:eastAsia="宋体"/>
                <w:sz w:val="18"/>
                <w:szCs w:val="18"/>
                <w:highlight w:val="none"/>
                <w:lang w:eastAsia="zh-CN"/>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hint="eastAsia" w:eastAsia="宋体" w:cs="Times New Roman"/>
                <w:b/>
                <w:sz w:val="18"/>
                <w:szCs w:val="18"/>
                <w:highlight w:val="none"/>
                <w:lang w:val="en-US" w:eastAsia="zh-CN"/>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5"/>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w:t>
      </w:r>
      <w:bookmarkStart w:id="0" w:name="_GoBack"/>
      <w:bookmarkEnd w:id="0"/>
      <w:r>
        <w:rPr>
          <w:rFonts w:hint="eastAsia" w:cs="Times New Roman"/>
          <w:sz w:val="18"/>
          <w:szCs w:val="18"/>
          <w:highlight w:val="none"/>
        </w:rPr>
        <w:t>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1.90%-2.20%</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2026年2月9日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自然日</w:t>
      </w:r>
      <w:r>
        <w:rPr>
          <w:rFonts w:hint="eastAsia"/>
          <w:sz w:val="18"/>
          <w:szCs w:val="18"/>
          <w:highlight w:val="none"/>
        </w:rPr>
        <w:t xml:space="preserve">，投资管理人和理财托管人核对估值结果（如遇非工作日顺延至下一工作日）。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《温州银行“金鹿理财-普惠季享”12号开放式净值型（第i期）银行理财计划开放认购（申购）申请书》。投资运作周期到期时，该周期内的资金收益情况根据所投资资产组合的实际运作情况确定。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：本理财计划成立日为2021年8月17日，从成立日起，每</w:t>
      </w:r>
      <w:r>
        <w:rPr>
          <w:rFonts w:ascii="宋体" w:hAnsi="宋体"/>
          <w:sz w:val="18"/>
          <w:highlight w:val="none"/>
        </w:rPr>
        <w:t>【</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91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本产品预计到期终止日为2031年8月17日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w:t>
      </w:r>
      <w:r>
        <w:rPr>
          <w:rFonts w:hint="eastAsia" w:ascii="宋体" w:hAnsi="宋体"/>
          <w:sz w:val="18"/>
          <w:highlight w:val="none"/>
          <w:lang w:val="zh-CN"/>
        </w:rPr>
        <w:t>每个投资运作周期到期日</w:t>
      </w:r>
      <w:r>
        <w:rPr>
          <w:rFonts w:hint="eastAsia"/>
          <w:sz w:val="18"/>
          <w:szCs w:val="18"/>
          <w:highlight w:val="none"/>
        </w:rPr>
        <w:t>从理财计划财产中扣除。</w:t>
      </w:r>
    </w:p>
    <w:p>
      <w:pPr>
        <w:adjustRightInd w:val="0"/>
        <w:snapToGrid w:val="0"/>
        <w:spacing w:line="286" w:lineRule="auto"/>
        <w:rPr>
          <w:sz w:val="18"/>
          <w:szCs w:val="18"/>
          <w:highlight w:val="none"/>
        </w:rPr>
      </w:pPr>
      <w:r>
        <w:rPr>
          <w:rFonts w:hint="eastAsia"/>
          <w:sz w:val="18"/>
          <w:szCs w:val="18"/>
          <w:highlight w:val="none"/>
        </w:rPr>
        <w:t>（2）理财管理人的浮动管理费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（3）理财托管人的托管费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lang w:val="en-US" w:eastAsia="zh-CN"/>
        </w:rPr>
        <w:t>理财计划运作周期到期日收益</w:t>
      </w:r>
      <w:r>
        <w:rPr>
          <w:rFonts w:hint="eastAsia"/>
          <w:sz w:val="18"/>
          <w:szCs w:val="18"/>
          <w:highlight w:val="none"/>
        </w:rPr>
        <w:t>计算公式</w:t>
      </w:r>
      <w:r>
        <w:rPr>
          <w:rFonts w:hint="eastAsia"/>
          <w:sz w:val="18"/>
          <w:szCs w:val="18"/>
          <w:highlight w:val="none"/>
          <w:lang w:eastAsia="zh-CN"/>
        </w:rPr>
        <w:t>：</w:t>
      </w:r>
    </w:p>
    <w:p>
      <w:pPr>
        <w:adjustRightInd w:val="0"/>
        <w:snapToGrid w:val="0"/>
        <w:spacing w:line="286" w:lineRule="auto"/>
        <w:rPr>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季享”12号开放式净值型银行理财计划风险揭示书》、《温州银行理财计划合约》、《温州银行“金鹿理财-普惠季享”12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1u4mYNwTAucMXM1+8oJnfVl2QQY=" w:salt="IHNCxAf1LLNNrC/KAODRi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2734614"/>
    <w:rsid w:val="03E53755"/>
    <w:rsid w:val="03FE5AF0"/>
    <w:rsid w:val="066C589E"/>
    <w:rsid w:val="06D33C67"/>
    <w:rsid w:val="09A20166"/>
    <w:rsid w:val="09B94EA2"/>
    <w:rsid w:val="0B344594"/>
    <w:rsid w:val="0BB41B34"/>
    <w:rsid w:val="0C383D7D"/>
    <w:rsid w:val="0CBE0DC0"/>
    <w:rsid w:val="0D932C83"/>
    <w:rsid w:val="0E3B5E45"/>
    <w:rsid w:val="0ECE1796"/>
    <w:rsid w:val="0FBF72A4"/>
    <w:rsid w:val="0FE54F11"/>
    <w:rsid w:val="0FE82C2F"/>
    <w:rsid w:val="126646E4"/>
    <w:rsid w:val="12E80653"/>
    <w:rsid w:val="146B494C"/>
    <w:rsid w:val="14BB338F"/>
    <w:rsid w:val="159568EC"/>
    <w:rsid w:val="15E33B2F"/>
    <w:rsid w:val="15EA7D13"/>
    <w:rsid w:val="1624383D"/>
    <w:rsid w:val="17EB5EB6"/>
    <w:rsid w:val="1AA621F2"/>
    <w:rsid w:val="1B01155A"/>
    <w:rsid w:val="1B37741A"/>
    <w:rsid w:val="1C705AA1"/>
    <w:rsid w:val="1CFA3565"/>
    <w:rsid w:val="1D376F7C"/>
    <w:rsid w:val="1D752134"/>
    <w:rsid w:val="1E5D6CD4"/>
    <w:rsid w:val="1E7D3D69"/>
    <w:rsid w:val="1E892A88"/>
    <w:rsid w:val="1EB46358"/>
    <w:rsid w:val="1F3C3C29"/>
    <w:rsid w:val="2046303D"/>
    <w:rsid w:val="20AB2EAF"/>
    <w:rsid w:val="218C0FFF"/>
    <w:rsid w:val="22D61972"/>
    <w:rsid w:val="24B5250E"/>
    <w:rsid w:val="24EC01E5"/>
    <w:rsid w:val="26391DA6"/>
    <w:rsid w:val="27136D61"/>
    <w:rsid w:val="282D00E4"/>
    <w:rsid w:val="288238BF"/>
    <w:rsid w:val="28F040F4"/>
    <w:rsid w:val="29925FAF"/>
    <w:rsid w:val="2A25760F"/>
    <w:rsid w:val="2A4A498F"/>
    <w:rsid w:val="2A895AE0"/>
    <w:rsid w:val="2CEC7043"/>
    <w:rsid w:val="2CF2395B"/>
    <w:rsid w:val="2E9C558E"/>
    <w:rsid w:val="2ED174C9"/>
    <w:rsid w:val="2F054820"/>
    <w:rsid w:val="309C114C"/>
    <w:rsid w:val="30CC4026"/>
    <w:rsid w:val="31AA7AB2"/>
    <w:rsid w:val="323E181F"/>
    <w:rsid w:val="327F1EE7"/>
    <w:rsid w:val="329B527D"/>
    <w:rsid w:val="34702C4A"/>
    <w:rsid w:val="35D65462"/>
    <w:rsid w:val="372A2254"/>
    <w:rsid w:val="38AD607F"/>
    <w:rsid w:val="393B35D5"/>
    <w:rsid w:val="399C1119"/>
    <w:rsid w:val="39D94B2F"/>
    <w:rsid w:val="39F24DBC"/>
    <w:rsid w:val="3A053D3F"/>
    <w:rsid w:val="3B941B03"/>
    <w:rsid w:val="3BFB7A0F"/>
    <w:rsid w:val="3C2600FF"/>
    <w:rsid w:val="3C2F4817"/>
    <w:rsid w:val="3D8657D9"/>
    <w:rsid w:val="3E0951EE"/>
    <w:rsid w:val="3E773417"/>
    <w:rsid w:val="40876BD9"/>
    <w:rsid w:val="41696BFE"/>
    <w:rsid w:val="41A2557E"/>
    <w:rsid w:val="42E80146"/>
    <w:rsid w:val="430E3733"/>
    <w:rsid w:val="438815DB"/>
    <w:rsid w:val="44020BD3"/>
    <w:rsid w:val="44CA591D"/>
    <w:rsid w:val="45081623"/>
    <w:rsid w:val="45880862"/>
    <w:rsid w:val="46616490"/>
    <w:rsid w:val="47047DD0"/>
    <w:rsid w:val="47115CC5"/>
    <w:rsid w:val="472A2551"/>
    <w:rsid w:val="47500909"/>
    <w:rsid w:val="48113790"/>
    <w:rsid w:val="48F63B21"/>
    <w:rsid w:val="493608D8"/>
    <w:rsid w:val="49941943"/>
    <w:rsid w:val="49C60CA3"/>
    <w:rsid w:val="4A5E2770"/>
    <w:rsid w:val="4A803D41"/>
    <w:rsid w:val="4B683CC5"/>
    <w:rsid w:val="4EE753FB"/>
    <w:rsid w:val="4EEB4EDA"/>
    <w:rsid w:val="4F6F21C7"/>
    <w:rsid w:val="4F890433"/>
    <w:rsid w:val="50044A9D"/>
    <w:rsid w:val="504772D4"/>
    <w:rsid w:val="50871DF4"/>
    <w:rsid w:val="5097677C"/>
    <w:rsid w:val="50AC0FE9"/>
    <w:rsid w:val="51824B96"/>
    <w:rsid w:val="51C01DAA"/>
    <w:rsid w:val="53367F96"/>
    <w:rsid w:val="53953374"/>
    <w:rsid w:val="54136DAE"/>
    <w:rsid w:val="57321F73"/>
    <w:rsid w:val="597154CE"/>
    <w:rsid w:val="5AB80354"/>
    <w:rsid w:val="5ADD2E10"/>
    <w:rsid w:val="5B68254B"/>
    <w:rsid w:val="5B8C3469"/>
    <w:rsid w:val="5DBD55D9"/>
    <w:rsid w:val="60673C3A"/>
    <w:rsid w:val="61531CCB"/>
    <w:rsid w:val="61AD2C21"/>
    <w:rsid w:val="61CD0301"/>
    <w:rsid w:val="61D77567"/>
    <w:rsid w:val="67BF7733"/>
    <w:rsid w:val="67E2424E"/>
    <w:rsid w:val="68997A2B"/>
    <w:rsid w:val="69624529"/>
    <w:rsid w:val="696638FC"/>
    <w:rsid w:val="6A0A597F"/>
    <w:rsid w:val="6BFC224E"/>
    <w:rsid w:val="6DD80D8D"/>
    <w:rsid w:val="6F853E06"/>
    <w:rsid w:val="6FA8317D"/>
    <w:rsid w:val="6FC86BDC"/>
    <w:rsid w:val="70351356"/>
    <w:rsid w:val="713704E9"/>
    <w:rsid w:val="71F277C9"/>
    <w:rsid w:val="723D7B75"/>
    <w:rsid w:val="725B595C"/>
    <w:rsid w:val="72AD16F8"/>
    <w:rsid w:val="737956B3"/>
    <w:rsid w:val="73C62B81"/>
    <w:rsid w:val="73E47D66"/>
    <w:rsid w:val="75535318"/>
    <w:rsid w:val="758F6774"/>
    <w:rsid w:val="760B1736"/>
    <w:rsid w:val="767F00CC"/>
    <w:rsid w:val="76A84E99"/>
    <w:rsid w:val="775A5D01"/>
    <w:rsid w:val="77686036"/>
    <w:rsid w:val="786E63C4"/>
    <w:rsid w:val="797657B5"/>
    <w:rsid w:val="7AEF5FC2"/>
    <w:rsid w:val="7C0C676F"/>
    <w:rsid w:val="7C4B59F8"/>
    <w:rsid w:val="7C4E477F"/>
    <w:rsid w:val="7D3F4EE6"/>
    <w:rsid w:val="7DEC198E"/>
    <w:rsid w:val="7E67570A"/>
    <w:rsid w:val="7ECC4792"/>
    <w:rsid w:val="7FBC26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9"/>
    <w:unhideWhenUsed/>
    <w:qFormat/>
    <w:uiPriority w:val="99"/>
    <w:pPr>
      <w:jc w:val="left"/>
    </w:pPr>
  </w:style>
  <w:style w:type="paragraph" w:styleId="3">
    <w:name w:val="Balloon Text"/>
    <w:basedOn w:val="1"/>
    <w:link w:val="17"/>
    <w:unhideWhenUsed/>
    <w:qFormat/>
    <w:uiPriority w:val="99"/>
    <w:rPr>
      <w:sz w:val="18"/>
      <w:szCs w:val="18"/>
    </w:rPr>
  </w:style>
  <w:style w:type="paragraph" w:styleId="4">
    <w:name w:val="footer"/>
    <w:basedOn w:val="1"/>
    <w:link w:val="22"/>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20"/>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paragraph" w:styleId="13">
    <w:name w:val="List Paragraph"/>
    <w:basedOn w:val="1"/>
    <w:qFormat/>
    <w:uiPriority w:val="34"/>
    <w:pPr>
      <w:widowControl/>
      <w:ind w:firstLine="420"/>
    </w:pPr>
    <w:rPr>
      <w:rFonts w:ascii="Calibri" w:hAnsi="Calibri" w:cs="宋体"/>
      <w:kern w:val="0"/>
      <w:szCs w:val="21"/>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6">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7">
    <w:name w:val="批注框文本 字符"/>
    <w:link w:val="3"/>
    <w:semiHidden/>
    <w:qFormat/>
    <w:uiPriority w:val="99"/>
    <w:rPr>
      <w:rFonts w:ascii="Times New Roman" w:hAnsi="Times New Roman"/>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character" w:customStyle="1" w:styleId="19">
    <w:name w:val="批注文字 字符"/>
    <w:link w:val="2"/>
    <w:semiHidden/>
    <w:qFormat/>
    <w:uiPriority w:val="99"/>
    <w:rPr>
      <w:rFonts w:ascii="Times New Roman" w:hAnsi="Times New Roman"/>
      <w:kern w:val="2"/>
      <w:sz w:val="21"/>
    </w:rPr>
  </w:style>
  <w:style w:type="character" w:customStyle="1" w:styleId="20">
    <w:name w:val="页眉 字符"/>
    <w:link w:val="5"/>
    <w:semiHidden/>
    <w:qFormat/>
    <w:uiPriority w:val="99"/>
    <w:rPr>
      <w:sz w:val="18"/>
      <w:szCs w:val="18"/>
    </w:rPr>
  </w:style>
  <w:style w:type="character" w:customStyle="1" w:styleId="21">
    <w:name w:val="HTML 预设格式 字符"/>
    <w:link w:val="6"/>
    <w:semiHidden/>
    <w:qFormat/>
    <w:uiPriority w:val="99"/>
    <w:rPr>
      <w:rFonts w:ascii="宋体" w:hAnsi="宋体" w:cs="宋体"/>
      <w:sz w:val="24"/>
      <w:szCs w:val="24"/>
    </w:rPr>
  </w:style>
  <w:style w:type="character" w:customStyle="1" w:styleId="22">
    <w:name w:val="页脚 字符"/>
    <w:link w:val="4"/>
    <w:qFormat/>
    <w:uiPriority w:val="99"/>
    <w:rPr>
      <w:sz w:val="18"/>
      <w:szCs w:val="18"/>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1279</Words>
  <Characters>1281</Characters>
  <Lines>133</Lines>
  <Paragraphs>37</Paragraphs>
  <TotalTime>600</TotalTime>
  <ScaleCrop>false</ScaleCrop>
  <LinksUpToDate>false</LinksUpToDate>
  <CharactersWithSpaces>1521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2026-10-30T07:02:08Z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