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26039</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26039</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398</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w:t>
      </w:r>
      <w:bookmarkStart w:id="0" w:name="_GoBack"/>
      <w:bookmarkEnd w:id="0"/>
      <w:r>
        <w:rPr>
          <w:rFonts w:hint="eastAsia" w:ascii="宋体" w:hAnsi="宋体"/>
          <w:b/>
          <w:szCs w:val="21"/>
          <w:highlight w:val="none"/>
        </w:rPr>
        <w:t>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26039</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26039</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26039</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26039</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26039</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C1092226000059</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398</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2026年11月3日</w:t>
            </w:r>
            <w:r>
              <w:rPr>
                <w:rFonts w:hint="eastAsia"/>
                <w:sz w:val="18"/>
                <w:highlight w:val="none"/>
                <w:u w:val="single"/>
              </w:rPr>
              <w:t>至</w:t>
            </w:r>
            <w:r>
              <w:rPr>
                <w:color w:val="000000"/>
                <w:sz w:val="18"/>
                <w:highlight w:val="none"/>
                <w:u w:val="single"/>
              </w:rPr>
              <w:t>2026年11月9日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2027年12月13日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8</w:t>
      </w:r>
      <w:r>
        <w:rPr>
          <w:rFonts w:hint="eastAsia"/>
          <w:sz w:val="18"/>
          <w:szCs w:val="18"/>
        </w:rPr>
        <w:t>=2.5</w:t>
      </w:r>
      <w:r>
        <w:rPr>
          <w:rFonts w:hint="eastAsia"/>
          <w:sz w:val="18"/>
          <w:szCs w:val="18"/>
          <w:lang w:val="en-US" w:eastAsia="zh-CN"/>
        </w:rPr>
        <w:t>7</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8</w:t>
      </w:r>
      <w:r>
        <w:rPr>
          <w:rFonts w:hint="eastAsia"/>
          <w:sz w:val="18"/>
          <w:szCs w:val="18"/>
        </w:rPr>
        <w:t>/365)]×80%=</w:t>
      </w:r>
      <w:r>
        <w:rPr>
          <w:rFonts w:hint="eastAsia"/>
          <w:sz w:val="18"/>
          <w:szCs w:val="18"/>
          <w:lang w:val="en-US" w:eastAsia="zh-CN"/>
        </w:rPr>
        <w:t>1464.11</w:t>
      </w:r>
      <w:r>
        <w:rPr>
          <w:rFonts w:hint="eastAsia"/>
          <w:sz w:val="18"/>
          <w:szCs w:val="18"/>
        </w:rPr>
        <w:t>（元）。扣除浮动管理费后，客户最终收益为：1,000,000.00×（1.028-1.00）-</w:t>
      </w:r>
      <w:r>
        <w:rPr>
          <w:rFonts w:hint="eastAsia"/>
          <w:sz w:val="18"/>
          <w:szCs w:val="18"/>
          <w:lang w:val="en-US" w:eastAsia="zh-CN"/>
        </w:rPr>
        <w:t>1464.11</w:t>
      </w:r>
      <w:r>
        <w:rPr>
          <w:rFonts w:hint="eastAsia"/>
          <w:sz w:val="18"/>
          <w:szCs w:val="18"/>
        </w:rPr>
        <w:t>=2</w:t>
      </w:r>
      <w:r>
        <w:rPr>
          <w:rFonts w:hint="eastAsia"/>
          <w:sz w:val="18"/>
          <w:szCs w:val="18"/>
          <w:lang w:val="en-US" w:eastAsia="zh-CN"/>
        </w:rPr>
        <w:t>6535.89</w:t>
      </w:r>
      <w:r>
        <w:rPr>
          <w:rFonts w:hint="eastAsia"/>
          <w:sz w:val="18"/>
          <w:szCs w:val="18"/>
        </w:rPr>
        <w:t>（元），产品到期时，客户获得的实际收益相当于达到年化收益率水平为：2</w:t>
      </w:r>
      <w:r>
        <w:rPr>
          <w:rFonts w:hint="eastAsia"/>
          <w:sz w:val="18"/>
          <w:szCs w:val="18"/>
          <w:lang w:val="en-US" w:eastAsia="zh-CN"/>
        </w:rPr>
        <w:t>6535.89</w:t>
      </w:r>
      <w:r>
        <w:rPr>
          <w:rFonts w:hint="eastAsia"/>
          <w:sz w:val="18"/>
          <w:szCs w:val="18"/>
        </w:rPr>
        <w:t>/1,000,000.00×365/39</w:t>
      </w:r>
      <w:r>
        <w:rPr>
          <w:rFonts w:hint="eastAsia"/>
          <w:sz w:val="18"/>
          <w:szCs w:val="18"/>
          <w:lang w:val="en-US" w:eastAsia="zh-CN"/>
        </w:rPr>
        <w:t>8</w:t>
      </w:r>
      <w:r>
        <w:rPr>
          <w:rFonts w:hint="eastAsia"/>
          <w:sz w:val="18"/>
          <w:szCs w:val="18"/>
        </w:rPr>
        <w:t>=2.4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8</w:t>
      </w:r>
      <w:r>
        <w:rPr>
          <w:rFonts w:hint="eastAsia"/>
          <w:sz w:val="18"/>
          <w:szCs w:val="18"/>
        </w:rPr>
        <w:t>=2.29%&lt;2.4%，即投资收益未达到业绩比较基准，则投资管理人不收取浮动管理费，客户最终收益为：1,000,000.00×(1.025-1.00）=25000（元）。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26039</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QYVGwkVrbUpxlZwxj6swXkD2Vc=" w:salt="eFK+PMGqUwwecoyKlAvJq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DB6425C"/>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D974079"/>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1050</Words>
  <Characters>1070</Characters>
  <Lines>100</Lines>
  <Paragraphs>28</Paragraphs>
  <TotalTime>0</TotalTime>
  <ScaleCrop>false</ScaleCrop>
  <LinksUpToDate>false</LinksUpToDate>
  <CharactersWithSpaces>1262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2026-10-30T07:30:19Z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