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3D39" w:rsidRDefault="00E33D39" w:rsidP="003B273A">
      <w:pPr>
        <w:spacing w:line="372" w:lineRule="auto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温州银行“金鹿理财-</w:t>
      </w:r>
      <w:r w:rsidR="003B273A">
        <w:rPr>
          <w:rFonts w:ascii="黑体" w:eastAsia="黑体" w:hint="eastAsia"/>
          <w:sz w:val="30"/>
          <w:szCs w:val="30"/>
        </w:rPr>
        <w:t>乐天利</w:t>
      </w:r>
      <w:r>
        <w:rPr>
          <w:rFonts w:ascii="黑体" w:eastAsia="黑体" w:hint="eastAsia"/>
          <w:sz w:val="30"/>
          <w:szCs w:val="30"/>
        </w:rPr>
        <w:t>”</w:t>
      </w:r>
      <w:r w:rsidR="003B273A">
        <w:rPr>
          <w:rFonts w:ascii="黑体" w:eastAsia="黑体" w:hint="eastAsia"/>
          <w:sz w:val="30"/>
          <w:szCs w:val="30"/>
        </w:rPr>
        <w:t xml:space="preserve"> </w:t>
      </w:r>
      <w:r w:rsidR="003D160E">
        <w:rPr>
          <w:rFonts w:ascii="黑体" w:eastAsia="黑体" w:hint="eastAsia"/>
          <w:sz w:val="30"/>
          <w:szCs w:val="30"/>
        </w:rPr>
        <w:t>银行理财计划要素说明</w:t>
      </w:r>
    </w:p>
    <w:p w:rsidR="003B273A" w:rsidRPr="003B273A" w:rsidRDefault="003B273A" w:rsidP="003B273A">
      <w:pPr>
        <w:spacing w:line="372" w:lineRule="auto"/>
        <w:jc w:val="center"/>
        <w:rPr>
          <w:rFonts w:ascii="黑体" w:eastAsia="黑体"/>
          <w:sz w:val="30"/>
          <w:szCs w:val="30"/>
        </w:rPr>
      </w:pP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1883"/>
        <w:gridCol w:w="7534"/>
      </w:tblGrid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产品名称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“金鹿理财-</w:t>
            </w:r>
            <w:r w:rsidR="003B273A">
              <w:rPr>
                <w:rFonts w:hint="eastAsia"/>
                <w:sz w:val="18"/>
                <w:szCs w:val="18"/>
              </w:rPr>
              <w:t>乐天利</w:t>
            </w:r>
            <w:r>
              <w:rPr>
                <w:rFonts w:hint="eastAsia"/>
                <w:sz w:val="18"/>
                <w:szCs w:val="18"/>
              </w:rPr>
              <w:t>”银行理财计划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产品编号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T15</w:t>
            </w:r>
            <w:r w:rsidR="00E33D39">
              <w:rPr>
                <w:rFonts w:hint="eastAsia"/>
                <w:sz w:val="18"/>
                <w:szCs w:val="18"/>
              </w:rPr>
              <w:t>001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投资类型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混合类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适合客户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经温州银行评估为稳健型、平衡型、进取型、激进型的个人投资者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每日</w:t>
            </w:r>
            <w:r w:rsidR="00E33D39">
              <w:rPr>
                <w:rFonts w:cs="Times New Roman" w:hint="eastAsia"/>
                <w:sz w:val="18"/>
                <w:szCs w:val="18"/>
              </w:rPr>
              <w:t>年化收益率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4.8</w:t>
            </w:r>
            <w:r w:rsidR="00E33D39">
              <w:rPr>
                <w:rFonts w:cs="Times New Roman" w:hint="eastAsia"/>
                <w:sz w:val="18"/>
                <w:szCs w:val="18"/>
              </w:rPr>
              <w:t>%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9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utoSpaceDN w:val="0"/>
              <w:snapToGrid w:val="0"/>
              <w:jc w:val="left"/>
              <w:rPr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温州银行每个工作日根据理财资金所投资的资产组合收益情况，计算理财产品在本工作日的每日年化收益率。若每日年化收益率变化，则温州银行于该工作日上午</w:t>
            </w:r>
            <w:r w:rsidRPr="009F57C2">
              <w:rPr>
                <w:rFonts w:hint="eastAsia"/>
                <w:sz w:val="18"/>
                <w:szCs w:val="18"/>
              </w:rPr>
              <w:t>9</w:t>
            </w:r>
            <w:r w:rsidRPr="009F57C2">
              <w:rPr>
                <w:rFonts w:hint="eastAsia"/>
                <w:sz w:val="18"/>
                <w:szCs w:val="18"/>
              </w:rPr>
              <w:t>：</w:t>
            </w:r>
            <w:r w:rsidRPr="009F57C2">
              <w:rPr>
                <w:rFonts w:hint="eastAsia"/>
                <w:sz w:val="18"/>
                <w:szCs w:val="18"/>
              </w:rPr>
              <w:t>00</w:t>
            </w:r>
            <w:r w:rsidRPr="009F57C2">
              <w:rPr>
                <w:rFonts w:hint="eastAsia"/>
                <w:sz w:val="18"/>
                <w:szCs w:val="18"/>
              </w:rPr>
              <w:t>前公布理财产品当日的每日年化收益率</w:t>
            </w:r>
            <w:r>
              <w:rPr>
                <w:rFonts w:hint="eastAsia"/>
                <w:sz w:val="18"/>
                <w:szCs w:val="18"/>
              </w:rPr>
              <w:t>，公告当日之后（含当日）的每日年化收益率即以此为准</w:t>
            </w:r>
            <w:r w:rsidRPr="009F57C2">
              <w:rPr>
                <w:rFonts w:hint="eastAsia"/>
                <w:sz w:val="18"/>
                <w:szCs w:val="18"/>
              </w:rPr>
              <w:t>。如温州银行</w:t>
            </w:r>
            <w:r>
              <w:rPr>
                <w:rFonts w:hint="eastAsia"/>
                <w:sz w:val="18"/>
                <w:szCs w:val="18"/>
              </w:rPr>
              <w:t>调整</w:t>
            </w:r>
            <w:r w:rsidRPr="009F57C2">
              <w:rPr>
                <w:rFonts w:hint="eastAsia"/>
                <w:sz w:val="18"/>
                <w:szCs w:val="18"/>
              </w:rPr>
              <w:t>更新该理财产品的每日年化收益率，则</w:t>
            </w:r>
            <w:r>
              <w:rPr>
                <w:rFonts w:hint="eastAsia"/>
                <w:sz w:val="18"/>
                <w:szCs w:val="18"/>
              </w:rPr>
              <w:t>原每日年化收益率失效，不再适用。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开放</w:t>
            </w:r>
            <w:r w:rsidR="00E33D39">
              <w:rPr>
                <w:rFonts w:cs="Times New Roman" w:hint="eastAsia"/>
                <w:sz w:val="18"/>
                <w:szCs w:val="18"/>
              </w:rPr>
              <w:t>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本理财产品自成立日次日起每个工作日开放申购与赎回，直至提前终止日（如有）前两个工作日结束。</w:t>
            </w:r>
            <w:r>
              <w:rPr>
                <w:rFonts w:hint="eastAsia"/>
                <w:sz w:val="18"/>
                <w:szCs w:val="18"/>
              </w:rPr>
              <w:t>如有调整，以温州银行网站公告为准。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djustRightInd w:val="0"/>
              <w:snapToGrid w:val="0"/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</w:rPr>
              <w:t>实时申购交易时间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EA2B01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9:00至1</w:t>
            </w:r>
            <w:r w:rsidR="00EA2B01">
              <w:rPr>
                <w:rFonts w:hint="eastAsia"/>
                <w:sz w:val="18"/>
                <w:szCs w:val="18"/>
                <w:u w:val="single"/>
              </w:rPr>
              <w:t>4</w:t>
            </w:r>
            <w:r>
              <w:rPr>
                <w:rFonts w:hint="eastAsia"/>
                <w:sz w:val="18"/>
                <w:szCs w:val="18"/>
                <w:u w:val="single"/>
              </w:rPr>
              <w:t>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实时赎回交易时间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 w:rsidRPr="003B273A">
              <w:rPr>
                <w:rFonts w:hint="eastAsia"/>
                <w:sz w:val="18"/>
                <w:szCs w:val="18"/>
                <w:u w:val="single"/>
              </w:rPr>
              <w:t>9:00至14:00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工作日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CC50E8" w:rsidP="00CC50E8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 w:rsidRPr="00DD0E9B">
              <w:rPr>
                <w:rFonts w:hint="eastAsia"/>
                <w:sz w:val="18"/>
                <w:szCs w:val="18"/>
              </w:rPr>
              <w:t>指上海证券交易所的正常交易日（不包含周六、周日和法定节假日）</w:t>
            </w:r>
          </w:p>
        </w:tc>
      </w:tr>
      <w:tr w:rsidR="003B273A" w:rsidTr="003B273A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5B1A84" w:rsidP="005B1A8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要素</w:t>
            </w:r>
            <w:r w:rsidR="003B273A">
              <w:rPr>
                <w:rFonts w:cs="Times New Roman" w:hint="eastAsia"/>
                <w:sz w:val="18"/>
                <w:szCs w:val="18"/>
              </w:rPr>
              <w:t>公告日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3B273A" w:rsidP="00A9641C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2015年</w:t>
            </w:r>
            <w:r w:rsidR="00B528FD">
              <w:rPr>
                <w:rFonts w:cs="Times New Roman" w:hint="eastAsia"/>
                <w:sz w:val="18"/>
                <w:szCs w:val="18"/>
              </w:rPr>
              <w:t>6</w:t>
            </w:r>
            <w:r>
              <w:rPr>
                <w:rFonts w:cs="Times New Roman" w:hint="eastAsia"/>
                <w:sz w:val="18"/>
                <w:szCs w:val="18"/>
              </w:rPr>
              <w:t>月</w:t>
            </w:r>
            <w:r w:rsidR="00A9641C">
              <w:rPr>
                <w:rFonts w:cs="Times New Roman" w:hint="eastAsia"/>
                <w:sz w:val="18"/>
                <w:szCs w:val="18"/>
              </w:rPr>
              <w:t>24</w:t>
            </w:r>
            <w:r>
              <w:rPr>
                <w:rFonts w:cs="Times New Roman" w:hint="eastAsia"/>
                <w:sz w:val="18"/>
                <w:szCs w:val="18"/>
              </w:rPr>
              <w:t>日</w:t>
            </w:r>
          </w:p>
        </w:tc>
      </w:tr>
      <w:tr w:rsidR="00B528FD" w:rsidRPr="00664EB0" w:rsidTr="00B528FD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Pr="00664EB0" w:rsidRDefault="00B528FD" w:rsidP="009507A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起点申购</w:t>
            </w:r>
            <w:r w:rsidRPr="00664EB0">
              <w:rPr>
                <w:rFonts w:cs="Times New Roman" w:hint="eastAsia"/>
                <w:sz w:val="18"/>
                <w:szCs w:val="18"/>
              </w:rPr>
              <w:t>金额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Pr="00664EB0" w:rsidRDefault="00B528FD" w:rsidP="00A9641C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起点金额5万元整，</w:t>
            </w:r>
            <w:r>
              <w:rPr>
                <w:rFonts w:cs="Times New Roman" w:hint="eastAsia"/>
                <w:sz w:val="18"/>
                <w:szCs w:val="18"/>
              </w:rPr>
              <w:t>申购上限金额为</w:t>
            </w:r>
            <w:r w:rsidR="00A9641C">
              <w:rPr>
                <w:rFonts w:cs="Times New Roman" w:hint="eastAsia"/>
                <w:sz w:val="18"/>
                <w:szCs w:val="18"/>
              </w:rPr>
              <w:t>1</w:t>
            </w:r>
            <w:r>
              <w:rPr>
                <w:rFonts w:cs="Times New Roman" w:hint="eastAsia"/>
                <w:sz w:val="18"/>
                <w:szCs w:val="18"/>
              </w:rPr>
              <w:t>00万元。</w:t>
            </w:r>
            <w:r w:rsidRPr="00B528FD">
              <w:rPr>
                <w:rFonts w:cs="Times New Roman" w:hint="eastAsia"/>
                <w:sz w:val="18"/>
                <w:szCs w:val="18"/>
              </w:rPr>
              <w:t>超过</w:t>
            </w: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起点部分，应为1万元的整数倍。</w:t>
            </w:r>
          </w:p>
        </w:tc>
      </w:tr>
    </w:tbl>
    <w:p w:rsidR="00E33D39" w:rsidRPr="00B528FD" w:rsidRDefault="00E33D39" w:rsidP="00E33D39"/>
    <w:p w:rsidR="00E33D39" w:rsidRDefault="00E33D39" w:rsidP="00E33D39">
      <w:pPr>
        <w:spacing w:line="372" w:lineRule="auto"/>
        <w:rPr>
          <w:rFonts w:ascii="黑体" w:eastAsia="黑体"/>
          <w:sz w:val="30"/>
          <w:szCs w:val="30"/>
        </w:rPr>
      </w:pPr>
    </w:p>
    <w:p w:rsidR="006239FE" w:rsidRDefault="006239FE"/>
    <w:sectPr w:rsidR="006239FE" w:rsidSect="009F4F7E">
      <w:footerReference w:type="default" r:id="rId6"/>
      <w:pgSz w:w="11906" w:h="16838"/>
      <w:pgMar w:top="1247" w:right="1361" w:bottom="1247" w:left="1361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DEE" w:rsidRDefault="00D87DEE" w:rsidP="006150BA">
      <w:r>
        <w:separator/>
      </w:r>
    </w:p>
  </w:endnote>
  <w:endnote w:type="continuationSeparator" w:id="1">
    <w:p w:rsidR="00D87DEE" w:rsidRDefault="00D87DEE" w:rsidP="00615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24D" w:rsidRDefault="00F7624D">
    <w:pPr>
      <w:pStyle w:val="a4"/>
      <w:jc w:val="center"/>
    </w:pPr>
    <w:r>
      <w:rPr>
        <w:lang w:val="zh-CN"/>
      </w:rPr>
      <w:t xml:space="preserve"> </w:t>
    </w:r>
    <w:r w:rsidR="009F4F7E">
      <w:rPr>
        <w:b/>
        <w:sz w:val="24"/>
        <w:szCs w:val="24"/>
      </w:rPr>
      <w:fldChar w:fldCharType="begin"/>
    </w:r>
    <w:r>
      <w:rPr>
        <w:b/>
      </w:rPr>
      <w:instrText>PAGE</w:instrText>
    </w:r>
    <w:r w:rsidR="009F4F7E">
      <w:rPr>
        <w:b/>
        <w:sz w:val="24"/>
        <w:szCs w:val="24"/>
      </w:rPr>
      <w:fldChar w:fldCharType="separate"/>
    </w:r>
    <w:r w:rsidR="00A9641C">
      <w:rPr>
        <w:b/>
        <w:noProof/>
      </w:rPr>
      <w:t>1</w:t>
    </w:r>
    <w:r w:rsidR="009F4F7E"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9F4F7E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9F4F7E">
      <w:rPr>
        <w:b/>
        <w:sz w:val="24"/>
        <w:szCs w:val="24"/>
      </w:rPr>
      <w:fldChar w:fldCharType="separate"/>
    </w:r>
    <w:r w:rsidR="00A9641C">
      <w:rPr>
        <w:b/>
        <w:noProof/>
      </w:rPr>
      <w:t>1</w:t>
    </w:r>
    <w:r w:rsidR="009F4F7E">
      <w:rPr>
        <w:b/>
        <w:sz w:val="24"/>
        <w:szCs w:val="24"/>
      </w:rPr>
      <w:fldChar w:fldCharType="end"/>
    </w:r>
  </w:p>
  <w:p w:rsidR="00F7624D" w:rsidRDefault="00F7624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DEE" w:rsidRDefault="00D87DEE" w:rsidP="006150BA">
      <w:r>
        <w:separator/>
      </w:r>
    </w:p>
  </w:footnote>
  <w:footnote w:type="continuationSeparator" w:id="1">
    <w:p w:rsidR="00D87DEE" w:rsidRDefault="00D87DEE" w:rsidP="006150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6146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172A27"/>
    <w:rsid w:val="00270B2E"/>
    <w:rsid w:val="003B273A"/>
    <w:rsid w:val="003D160E"/>
    <w:rsid w:val="003E08E9"/>
    <w:rsid w:val="00523614"/>
    <w:rsid w:val="00542C90"/>
    <w:rsid w:val="00590538"/>
    <w:rsid w:val="005B1A84"/>
    <w:rsid w:val="00601D30"/>
    <w:rsid w:val="006150BA"/>
    <w:rsid w:val="006239FE"/>
    <w:rsid w:val="007271AD"/>
    <w:rsid w:val="007A360B"/>
    <w:rsid w:val="009544A9"/>
    <w:rsid w:val="00983BBC"/>
    <w:rsid w:val="009B155F"/>
    <w:rsid w:val="009F4F7E"/>
    <w:rsid w:val="00A37223"/>
    <w:rsid w:val="00A9641C"/>
    <w:rsid w:val="00B14A94"/>
    <w:rsid w:val="00B528FD"/>
    <w:rsid w:val="00CC50E8"/>
    <w:rsid w:val="00CE1220"/>
    <w:rsid w:val="00D87DEE"/>
    <w:rsid w:val="00E33D39"/>
    <w:rsid w:val="00E84475"/>
    <w:rsid w:val="00EA2B01"/>
    <w:rsid w:val="00F7624D"/>
    <w:rsid w:val="00FB0D22"/>
    <w:rsid w:val="00FD0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9F4F7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header"/>
    <w:basedOn w:val="a"/>
    <w:rsid w:val="009F4F7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link w:val="Char"/>
    <w:uiPriority w:val="99"/>
    <w:rsid w:val="009F4F7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4"/>
    <w:uiPriority w:val="99"/>
    <w:rsid w:val="00E33D39"/>
    <w:rPr>
      <w:kern w:val="2"/>
      <w:sz w:val="18"/>
    </w:rPr>
  </w:style>
  <w:style w:type="character" w:styleId="a5">
    <w:name w:val="annotation reference"/>
    <w:basedOn w:val="a0"/>
    <w:uiPriority w:val="99"/>
    <w:semiHidden/>
    <w:unhideWhenUsed/>
    <w:rsid w:val="00E33D39"/>
    <w:rPr>
      <w:sz w:val="21"/>
      <w:szCs w:val="21"/>
    </w:rPr>
  </w:style>
  <w:style w:type="paragraph" w:styleId="a6">
    <w:name w:val="annotation text"/>
    <w:basedOn w:val="a"/>
    <w:link w:val="Char0"/>
    <w:uiPriority w:val="99"/>
    <w:unhideWhenUsed/>
    <w:rsid w:val="00E33D39"/>
    <w:pPr>
      <w:jc w:val="left"/>
    </w:pPr>
  </w:style>
  <w:style w:type="character" w:customStyle="1" w:styleId="Char0">
    <w:name w:val="批注文字 Char"/>
    <w:basedOn w:val="a0"/>
    <w:link w:val="a6"/>
    <w:uiPriority w:val="99"/>
    <w:rsid w:val="00E33D39"/>
    <w:rPr>
      <w:kern w:val="2"/>
      <w:sz w:val="21"/>
    </w:rPr>
  </w:style>
  <w:style w:type="paragraph" w:styleId="a7">
    <w:name w:val="Balloon Text"/>
    <w:basedOn w:val="a"/>
    <w:link w:val="Char1"/>
    <w:uiPriority w:val="99"/>
    <w:semiHidden/>
    <w:unhideWhenUsed/>
    <w:rsid w:val="00E33D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33D39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428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Manager/>
  <Company/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温州银行“金鹿理财-温盈”2号（182天第1期）</dc:title>
  <dc:subject/>
  <dc:creator>tiny</dc:creator>
  <cp:keywords/>
  <dc:description/>
  <cp:lastModifiedBy>陈浩01</cp:lastModifiedBy>
  <cp:revision>3</cp:revision>
  <cp:lastPrinted>2014-12-02T14:27:00Z</cp:lastPrinted>
  <dcterms:created xsi:type="dcterms:W3CDTF">2015-06-09T10:59:00Z</dcterms:created>
  <dcterms:modified xsi:type="dcterms:W3CDTF">2015-06-23T10:50:00Z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2052-9.1.0.4716</vt:lpwstr>
  </property>
</Properties>
</file>